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A6D61">
      <w:pPr>
        <w:pStyle w:val="6"/>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7053EE76">
      <w:pPr>
        <w:pStyle w:val="6"/>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幼儿园优秀</w:t>
      </w:r>
      <w:r>
        <w:rPr>
          <w:rFonts w:hint="eastAsia" w:ascii="方正小标宋简体" w:hAnsi="方正小标宋简体" w:eastAsia="方正小标宋简体" w:cs="方正小标宋简体"/>
          <w:sz w:val="44"/>
          <w:szCs w:val="44"/>
          <w:lang w:val="en-US" w:eastAsia="zh-CN"/>
        </w:rPr>
        <w:t>游戏</w:t>
      </w:r>
      <w:r>
        <w:rPr>
          <w:rFonts w:hint="eastAsia" w:ascii="方正小标宋简体" w:hAnsi="方正小标宋简体" w:eastAsia="方正小标宋简体" w:cs="方正小标宋简体"/>
          <w:sz w:val="44"/>
          <w:szCs w:val="44"/>
        </w:rPr>
        <w:t>活动案例</w:t>
      </w:r>
      <w:r>
        <w:rPr>
          <w:rFonts w:hint="eastAsia" w:ascii="方正小标宋简体" w:hAnsi="方正小标宋简体" w:eastAsia="方正小标宋简体" w:cs="方正小标宋简体"/>
          <w:sz w:val="44"/>
          <w:szCs w:val="44"/>
          <w:lang w:val="en-US" w:eastAsia="zh-CN"/>
        </w:rPr>
        <w:t>活页</w:t>
      </w:r>
    </w:p>
    <w:p w14:paraId="2D45B9C0">
      <w:pPr>
        <w:pStyle w:val="6"/>
        <w:ind w:firstLine="0" w:firstLineChars="0"/>
        <w:jc w:val="center"/>
        <w:rPr>
          <w:rFonts w:hint="eastAsia" w:ascii="方正小标宋简体" w:hAnsi="方正小标宋简体" w:eastAsia="方正小标宋简体" w:cs="方正小标宋简体"/>
          <w:sz w:val="44"/>
          <w:szCs w:val="44"/>
          <w:lang w:val="en-US" w:eastAsia="zh-CN"/>
        </w:rPr>
      </w:pPr>
    </w:p>
    <w:p w14:paraId="590EA8F2">
      <w:pPr>
        <w:spacing w:line="400" w:lineRule="exact"/>
        <w:ind w:firstLine="482" w:firstLineChars="200"/>
        <w:rPr>
          <w:rFonts w:hint="eastAsia" w:ascii="黑体" w:hAnsi="黑体" w:eastAsia="黑体" w:cs="黑体"/>
          <w:spacing w:val="-8"/>
          <w:sz w:val="24"/>
          <w:szCs w:val="24"/>
        </w:rPr>
      </w:pPr>
      <w:r>
        <w:rPr>
          <w:rFonts w:hint="eastAsia" w:ascii="仿宋_GB2312" w:hAnsi="仿宋_GB2312" w:eastAsia="仿宋_GB2312" w:cs="仿宋_GB2312"/>
          <w:b/>
          <w:sz w:val="24"/>
          <w:szCs w:val="24"/>
        </w:rPr>
        <w:t>填表说明：</w:t>
      </w:r>
      <w:r>
        <w:rPr>
          <w:rFonts w:hint="eastAsia" w:ascii="仿宋_GB2312" w:hAnsi="仿宋_GB2312" w:eastAsia="仿宋_GB2312" w:cs="仿宋_GB2312"/>
          <w:spacing w:val="-8"/>
          <w:sz w:val="24"/>
          <w:szCs w:val="24"/>
        </w:rPr>
        <w:t>本表供匿名评审使用</w:t>
      </w:r>
      <w:r>
        <w:rPr>
          <w:rFonts w:hint="eastAsia" w:ascii="仿宋_GB2312" w:hAnsi="仿宋_GB2312" w:eastAsia="仿宋_GB2312" w:cs="仿宋_GB2312"/>
          <w:spacing w:val="-8"/>
          <w:sz w:val="24"/>
          <w:szCs w:val="24"/>
          <w:lang w:eastAsia="zh-CN"/>
        </w:rPr>
        <w:t>，</w:t>
      </w:r>
      <w:r>
        <w:rPr>
          <w:rFonts w:hint="eastAsia" w:ascii="仿宋_GB2312" w:hAnsi="仿宋_GB2312" w:eastAsia="仿宋_GB2312" w:cs="仿宋_GB2312"/>
          <w:spacing w:val="-8"/>
          <w:sz w:val="24"/>
          <w:szCs w:val="24"/>
        </w:rPr>
        <w:t>相应内容与《申</w:t>
      </w:r>
      <w:r>
        <w:rPr>
          <w:rFonts w:hint="eastAsia" w:ascii="仿宋_GB2312" w:hAnsi="仿宋_GB2312" w:eastAsia="仿宋_GB2312" w:cs="仿宋_GB2312"/>
          <w:spacing w:val="-8"/>
          <w:sz w:val="24"/>
          <w:szCs w:val="24"/>
          <w:lang w:val="en-US" w:eastAsia="zh-CN"/>
        </w:rPr>
        <w:t>报表</w:t>
      </w:r>
      <w:r>
        <w:rPr>
          <w:rFonts w:hint="eastAsia" w:ascii="仿宋_GB2312" w:hAnsi="仿宋_GB2312" w:eastAsia="仿宋_GB2312" w:cs="仿宋_GB2312"/>
          <w:spacing w:val="-8"/>
          <w:sz w:val="24"/>
          <w:szCs w:val="24"/>
        </w:rPr>
        <w:t>》保持一致</w:t>
      </w:r>
      <w:r>
        <w:rPr>
          <w:rFonts w:hint="eastAsia" w:ascii="仿宋_GB2312" w:hAnsi="仿宋_GB2312" w:eastAsia="仿宋_GB2312" w:cs="仿宋_GB2312"/>
          <w:spacing w:val="-8"/>
          <w:sz w:val="24"/>
          <w:szCs w:val="24"/>
          <w:lang w:eastAsia="zh-CN"/>
        </w:rPr>
        <w:t>。</w:t>
      </w:r>
      <w:r>
        <w:rPr>
          <w:rFonts w:hint="eastAsia" w:ascii="仿宋_GB2312" w:hAnsi="仿宋_GB2312" w:eastAsia="仿宋_GB2312" w:cs="仿宋_GB2312"/>
          <w:spacing w:val="-8"/>
          <w:sz w:val="24"/>
          <w:szCs w:val="24"/>
        </w:rPr>
        <w:t>填写时，不得直接或间接透露个人相关背景材料</w:t>
      </w:r>
      <w:r>
        <w:rPr>
          <w:rFonts w:hint="eastAsia" w:ascii="仿宋_GB2312" w:hAnsi="仿宋_GB2312" w:eastAsia="仿宋_GB2312" w:cs="仿宋_GB2312"/>
          <w:spacing w:val="-8"/>
          <w:sz w:val="24"/>
          <w:szCs w:val="24"/>
          <w:lang w:eastAsia="zh-CN"/>
        </w:rPr>
        <w:t>，</w:t>
      </w:r>
      <w:r>
        <w:rPr>
          <w:rFonts w:hint="eastAsia" w:ascii="仿宋_GB2312" w:hAnsi="仿宋_GB2312" w:eastAsia="仿宋_GB2312" w:cs="仿宋_GB2312"/>
          <w:spacing w:val="-8"/>
          <w:sz w:val="24"/>
          <w:szCs w:val="24"/>
          <w:lang w:val="en-US" w:eastAsia="zh-CN"/>
        </w:rPr>
        <w:t>案例申报人</w:t>
      </w:r>
      <w:r>
        <w:rPr>
          <w:rFonts w:hint="eastAsia" w:ascii="仿宋_GB2312" w:hAnsi="仿宋_GB2312" w:eastAsia="仿宋_GB2312" w:cs="仿宋_GB2312"/>
          <w:spacing w:val="-8"/>
          <w:sz w:val="24"/>
          <w:szCs w:val="24"/>
          <w:lang w:eastAsia="zh-CN"/>
        </w:rPr>
        <w:t>的姓名、单位名称等信息</w:t>
      </w:r>
      <w:r>
        <w:rPr>
          <w:rFonts w:hint="eastAsia" w:ascii="仿宋_GB2312" w:hAnsi="仿宋_GB2312" w:eastAsia="仿宋_GB2312" w:cs="仿宋_GB2312"/>
          <w:spacing w:val="-8"/>
          <w:sz w:val="24"/>
          <w:szCs w:val="24"/>
        </w:rPr>
        <w:t>，统一用×××、××××××代表。否则，一律不得进入评审程序。</w:t>
      </w:r>
    </w:p>
    <w:p w14:paraId="0A3E56B4">
      <w:pPr>
        <w:rPr>
          <w:rFonts w:hint="eastAsia" w:ascii="宋体" w:hAnsi="宋体"/>
          <w:sz w:val="32"/>
          <w:szCs w:val="32"/>
        </w:rPr>
      </w:pPr>
    </w:p>
    <w:p w14:paraId="24C87479">
      <w:pPr>
        <w:pStyle w:val="6"/>
        <w:keepNext w:val="0"/>
        <w:keepLines w:val="0"/>
        <w:pageBreakBefore w:val="0"/>
        <w:widowControl w:val="0"/>
        <w:kinsoku/>
        <w:wordWrap/>
        <w:overflowPunct/>
        <w:topLinePunct w:val="0"/>
        <w:autoSpaceDE/>
        <w:autoSpaceDN/>
        <w:bidi w:val="0"/>
        <w:adjustRightInd/>
        <w:snapToGrid/>
        <w:spacing w:after="157" w:afterLines="50"/>
        <w:ind w:firstLine="640" w:firstLineChars="200"/>
        <w:jc w:val="both"/>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案例</w:t>
      </w:r>
      <w:r>
        <w:rPr>
          <w:rFonts w:hint="eastAsia" w:ascii="黑体" w:hAnsi="黑体" w:eastAsia="黑体" w:cs="黑体"/>
          <w:sz w:val="32"/>
          <w:szCs w:val="32"/>
        </w:rPr>
        <w:t>名称</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p>
    <w:tbl>
      <w:tblPr>
        <w:tblStyle w:val="8"/>
        <w:tblW w:w="0" w:type="auto"/>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8"/>
      </w:tblGrid>
      <w:tr w14:paraId="35B9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8" w:type="dxa"/>
            <w:noWrap w:val="0"/>
            <w:vAlign w:val="top"/>
          </w:tcPr>
          <w:p w14:paraId="4286A7DC">
            <w:pPr>
              <w:pStyle w:val="6"/>
              <w:spacing w:line="440" w:lineRule="exact"/>
              <w:ind w:firstLine="0" w:firstLineChars="0"/>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4"/>
                <w:szCs w:val="24"/>
              </w:rPr>
              <w:t>一、活动背景（主要介绍</w:t>
            </w:r>
            <w:r>
              <w:rPr>
                <w:rFonts w:hint="eastAsia" w:ascii="仿宋_GB2312" w:hAnsi="仿宋_GB2312" w:eastAsia="仿宋_GB2312" w:cs="仿宋_GB2312"/>
                <w:sz w:val="24"/>
                <w:szCs w:val="24"/>
                <w:lang w:val="en-US" w:eastAsia="zh-CN"/>
              </w:rPr>
              <w:t>游戏活动来源，幼儿的已有经验和教师对活动的思考</w:t>
            </w:r>
            <w:r>
              <w:rPr>
                <w:rFonts w:hint="eastAsia" w:ascii="仿宋_GB2312" w:hAnsi="仿宋_GB2312" w:eastAsia="仿宋_GB2312" w:cs="仿宋_GB2312"/>
                <w:sz w:val="24"/>
                <w:szCs w:val="24"/>
              </w:rPr>
              <w:t>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tc>
      </w:tr>
      <w:tr w14:paraId="3BEA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8298" w:type="dxa"/>
            <w:noWrap w:val="0"/>
            <w:vAlign w:val="top"/>
          </w:tcPr>
          <w:p w14:paraId="1A595EC4">
            <w:pPr>
              <w:pStyle w:val="6"/>
              <w:spacing w:line="600" w:lineRule="exact"/>
              <w:jc w:val="both"/>
              <w:rPr>
                <w:rFonts w:hint="eastAsia" w:ascii="仿宋_GB2312" w:hAnsi="仿宋_GB2312" w:eastAsia="仿宋_GB2312" w:cs="仿宋_GB2312"/>
                <w:sz w:val="30"/>
                <w:szCs w:val="30"/>
                <w:vertAlign w:val="baseline"/>
                <w:lang w:val="en-US" w:eastAsia="zh-CN"/>
              </w:rPr>
            </w:pPr>
          </w:p>
          <w:p w14:paraId="35DB17DF">
            <w:pPr>
              <w:pStyle w:val="6"/>
              <w:spacing w:line="600" w:lineRule="exact"/>
              <w:jc w:val="both"/>
              <w:rPr>
                <w:rFonts w:hint="eastAsia" w:ascii="仿宋_GB2312" w:hAnsi="仿宋_GB2312" w:eastAsia="仿宋_GB2312" w:cs="仿宋_GB2312"/>
                <w:sz w:val="30"/>
                <w:szCs w:val="30"/>
                <w:vertAlign w:val="baseline"/>
                <w:lang w:val="en-US" w:eastAsia="zh-CN"/>
              </w:rPr>
            </w:pPr>
          </w:p>
          <w:p w14:paraId="25FDCC96">
            <w:pPr>
              <w:pStyle w:val="6"/>
              <w:spacing w:line="600" w:lineRule="exact"/>
              <w:jc w:val="both"/>
              <w:rPr>
                <w:rFonts w:hint="eastAsia" w:ascii="仿宋_GB2312" w:hAnsi="仿宋_GB2312" w:eastAsia="仿宋_GB2312" w:cs="仿宋_GB2312"/>
                <w:sz w:val="30"/>
                <w:szCs w:val="30"/>
                <w:vertAlign w:val="baseline"/>
                <w:lang w:val="en-US" w:eastAsia="zh-CN"/>
              </w:rPr>
            </w:pPr>
          </w:p>
        </w:tc>
      </w:tr>
      <w:tr w14:paraId="4812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8" w:type="dxa"/>
            <w:noWrap w:val="0"/>
            <w:vAlign w:val="top"/>
          </w:tcPr>
          <w:p w14:paraId="195DB342">
            <w:pPr>
              <w:pStyle w:val="6"/>
              <w:spacing w:line="440" w:lineRule="exact"/>
              <w:ind w:left="0" w:leftChars="0" w:firstLine="0" w:firstLineChars="0"/>
              <w:jc w:val="both"/>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lang w:val="en-US" w:eastAsia="zh-CN"/>
              </w:rPr>
              <w:t>活动过程与反思</w:t>
            </w:r>
            <w:r>
              <w:rPr>
                <w:rFonts w:hint="eastAsia" w:ascii="仿宋_GB2312" w:hAnsi="仿宋_GB2312" w:eastAsia="仿宋_GB2312" w:cs="仿宋_GB2312"/>
                <w:sz w:val="24"/>
                <w:szCs w:val="24"/>
              </w:rPr>
              <w:t>（主要介绍</w:t>
            </w:r>
            <w:r>
              <w:rPr>
                <w:rFonts w:hint="eastAsia" w:ascii="仿宋_GB2312" w:hAnsi="仿宋_GB2312" w:eastAsia="仿宋_GB2312" w:cs="仿宋_GB2312"/>
                <w:sz w:val="24"/>
                <w:szCs w:val="24"/>
                <w:lang w:val="en-US" w:eastAsia="zh-CN"/>
              </w:rPr>
              <w:t>游戏活动开展的</w:t>
            </w:r>
            <w:r>
              <w:rPr>
                <w:rFonts w:hint="eastAsia" w:ascii="仿宋_GB2312" w:hAnsi="仿宋_GB2312" w:eastAsia="仿宋_GB2312" w:cs="仿宋_GB2312"/>
                <w:sz w:val="24"/>
                <w:szCs w:val="24"/>
              </w:rPr>
              <w:t>过程，包括</w:t>
            </w:r>
            <w:r>
              <w:rPr>
                <w:rFonts w:hint="eastAsia" w:ascii="仿宋_GB2312" w:hAnsi="仿宋_GB2312" w:eastAsia="仿宋_GB2312" w:cs="仿宋_GB2312"/>
                <w:sz w:val="24"/>
                <w:szCs w:val="24"/>
                <w:lang w:val="en-US" w:eastAsia="zh-CN"/>
              </w:rPr>
              <w:t>但不限于</w:t>
            </w:r>
            <w:r>
              <w:rPr>
                <w:rFonts w:hint="eastAsia" w:ascii="仿宋_GB2312" w:hAnsi="仿宋_GB2312" w:eastAsia="仿宋_GB2312" w:cs="仿宋_GB2312"/>
                <w:sz w:val="24"/>
                <w:szCs w:val="24"/>
              </w:rPr>
              <w:t>幼儿的典型行为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师幼互动</w:t>
            </w:r>
            <w:r>
              <w:rPr>
                <w:rFonts w:hint="eastAsia" w:ascii="仿宋_GB2312" w:hAnsi="仿宋_GB2312" w:eastAsia="仿宋_GB2312" w:cs="仿宋_GB2312"/>
                <w:sz w:val="24"/>
                <w:szCs w:val="24"/>
              </w:rPr>
              <w:t>等</w:t>
            </w:r>
            <w:r>
              <w:rPr>
                <w:rFonts w:hint="eastAsia" w:ascii="仿宋_GB2312" w:hAnsi="仿宋_GB2312" w:eastAsia="仿宋_GB2312" w:cs="仿宋_GB2312"/>
                <w:sz w:val="24"/>
                <w:szCs w:val="24"/>
                <w:lang w:val="en-US" w:eastAsia="zh-CN"/>
              </w:rPr>
              <w:t>，以及教师在活动过程中对幼儿行为的观察解读及自身支持策略的反思等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tc>
      </w:tr>
      <w:tr w14:paraId="23EA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8298" w:type="dxa"/>
            <w:noWrap w:val="0"/>
            <w:vAlign w:val="top"/>
          </w:tcPr>
          <w:p w14:paraId="1BC6630F">
            <w:pPr>
              <w:pStyle w:val="6"/>
              <w:spacing w:line="440" w:lineRule="exact"/>
              <w:ind w:left="0" w:leftChars="0" w:firstLine="0" w:firstLineChars="0"/>
              <w:jc w:val="both"/>
              <w:rPr>
                <w:rFonts w:hint="eastAsia" w:ascii="仿宋_GB2312" w:hAnsi="仿宋_GB2312" w:eastAsia="仿宋_GB2312" w:cs="仿宋_GB2312"/>
                <w:sz w:val="24"/>
                <w:szCs w:val="24"/>
              </w:rPr>
            </w:pPr>
          </w:p>
          <w:p w14:paraId="161E0C70">
            <w:pPr>
              <w:pStyle w:val="6"/>
              <w:spacing w:line="440" w:lineRule="exact"/>
              <w:ind w:left="0" w:leftChars="0" w:firstLine="0" w:firstLineChars="0"/>
              <w:jc w:val="both"/>
              <w:rPr>
                <w:rFonts w:hint="eastAsia" w:ascii="仿宋_GB2312" w:hAnsi="仿宋_GB2312" w:eastAsia="仿宋_GB2312" w:cs="仿宋_GB2312"/>
                <w:sz w:val="24"/>
                <w:szCs w:val="24"/>
              </w:rPr>
            </w:pPr>
          </w:p>
          <w:p w14:paraId="65FDB336">
            <w:pPr>
              <w:pStyle w:val="6"/>
              <w:spacing w:line="440" w:lineRule="exact"/>
              <w:ind w:left="0" w:leftChars="0" w:firstLine="0" w:firstLineChars="0"/>
              <w:jc w:val="both"/>
              <w:rPr>
                <w:rFonts w:hint="eastAsia" w:ascii="仿宋_GB2312" w:hAnsi="仿宋_GB2312" w:eastAsia="仿宋_GB2312" w:cs="仿宋_GB2312"/>
                <w:sz w:val="24"/>
                <w:szCs w:val="24"/>
              </w:rPr>
            </w:pPr>
          </w:p>
          <w:p w14:paraId="4C766A8D">
            <w:pPr>
              <w:pStyle w:val="6"/>
              <w:spacing w:line="440" w:lineRule="exact"/>
              <w:ind w:left="0" w:leftChars="0" w:firstLine="0" w:firstLineChars="0"/>
              <w:jc w:val="both"/>
              <w:rPr>
                <w:rFonts w:hint="eastAsia" w:ascii="仿宋_GB2312" w:hAnsi="仿宋_GB2312" w:eastAsia="仿宋_GB2312" w:cs="仿宋_GB2312"/>
                <w:sz w:val="24"/>
                <w:szCs w:val="24"/>
              </w:rPr>
            </w:pPr>
          </w:p>
        </w:tc>
      </w:tr>
      <w:tr w14:paraId="27F8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8" w:type="dxa"/>
            <w:noWrap w:val="0"/>
            <w:vAlign w:val="top"/>
          </w:tcPr>
          <w:p w14:paraId="37176F59">
            <w:pPr>
              <w:pStyle w:val="6"/>
              <w:spacing w:line="440" w:lineRule="exact"/>
              <w:ind w:left="0" w:leftChars="0" w:firstLine="0" w:firstLineChars="0"/>
              <w:jc w:val="both"/>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24"/>
                <w:szCs w:val="24"/>
              </w:rPr>
              <w:t>三、活动价值（主要介绍</w:t>
            </w:r>
            <w:r>
              <w:rPr>
                <w:rFonts w:hint="eastAsia" w:ascii="仿宋_GB2312" w:hAnsi="仿宋_GB2312" w:eastAsia="仿宋_GB2312" w:cs="仿宋_GB2312"/>
                <w:sz w:val="24"/>
                <w:szCs w:val="24"/>
                <w:lang w:val="en-US" w:eastAsia="zh-CN"/>
              </w:rPr>
              <w:t>游戏</w:t>
            </w:r>
            <w:r>
              <w:rPr>
                <w:rFonts w:hint="eastAsia" w:ascii="仿宋_GB2312" w:hAnsi="仿宋_GB2312" w:eastAsia="仿宋_GB2312" w:cs="仿宋_GB2312"/>
                <w:sz w:val="24"/>
                <w:szCs w:val="24"/>
              </w:rPr>
              <w:t>活动对幼儿</w:t>
            </w:r>
            <w:r>
              <w:rPr>
                <w:rFonts w:hint="eastAsia" w:ascii="仿宋_GB2312" w:hAnsi="仿宋_GB2312" w:eastAsia="仿宋_GB2312" w:cs="仿宋_GB2312"/>
                <w:sz w:val="24"/>
                <w:szCs w:val="24"/>
                <w:lang w:val="en-US" w:eastAsia="zh-CN"/>
              </w:rPr>
              <w:t>习惯培养、</w:t>
            </w:r>
            <w:r>
              <w:rPr>
                <w:rFonts w:hint="eastAsia" w:ascii="仿宋_GB2312" w:hAnsi="仿宋_GB2312" w:eastAsia="仿宋_GB2312" w:cs="仿宋_GB2312"/>
                <w:sz w:val="24"/>
                <w:szCs w:val="24"/>
              </w:rPr>
              <w:t>学习发展</w:t>
            </w:r>
            <w:r>
              <w:rPr>
                <w:rFonts w:hint="eastAsia" w:ascii="仿宋_GB2312" w:hAnsi="仿宋_GB2312" w:eastAsia="仿宋_GB2312" w:cs="仿宋_GB2312"/>
                <w:sz w:val="24"/>
                <w:szCs w:val="24"/>
                <w:lang w:val="en-US" w:eastAsia="zh-CN"/>
              </w:rPr>
              <w:t>等方面</w:t>
            </w:r>
            <w:r>
              <w:rPr>
                <w:rFonts w:hint="eastAsia" w:ascii="仿宋_GB2312" w:hAnsi="仿宋_GB2312" w:eastAsia="仿宋_GB2312" w:cs="仿宋_GB2312"/>
                <w:sz w:val="24"/>
                <w:szCs w:val="24"/>
              </w:rPr>
              <w:t>的价值，以及进一步的支持策略</w:t>
            </w:r>
            <w:r>
              <w:rPr>
                <w:rFonts w:hint="eastAsia" w:ascii="仿宋_GB2312" w:hAnsi="仿宋_GB2312" w:eastAsia="仿宋_GB2312" w:cs="仿宋_GB2312"/>
                <w:sz w:val="24"/>
                <w:szCs w:val="24"/>
                <w:highlight w:val="none"/>
              </w:rPr>
              <w:t>等</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w:t>
            </w:r>
          </w:p>
        </w:tc>
      </w:tr>
      <w:tr w14:paraId="13DF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298" w:type="dxa"/>
            <w:noWrap w:val="0"/>
            <w:vAlign w:val="top"/>
          </w:tcPr>
          <w:p w14:paraId="374D7EA9">
            <w:pPr>
              <w:pStyle w:val="6"/>
              <w:spacing w:line="600" w:lineRule="exact"/>
              <w:jc w:val="both"/>
              <w:rPr>
                <w:rFonts w:hint="eastAsia" w:ascii="仿宋_GB2312" w:hAnsi="仿宋_GB2312" w:eastAsia="仿宋_GB2312" w:cs="仿宋_GB2312"/>
                <w:sz w:val="30"/>
                <w:szCs w:val="30"/>
                <w:vertAlign w:val="baseline"/>
                <w:lang w:val="en-US" w:eastAsia="zh-CN"/>
              </w:rPr>
            </w:pPr>
          </w:p>
          <w:p w14:paraId="4A2AEFA6">
            <w:pPr>
              <w:pStyle w:val="6"/>
              <w:spacing w:line="600" w:lineRule="exact"/>
              <w:jc w:val="both"/>
              <w:rPr>
                <w:rFonts w:hint="eastAsia" w:ascii="仿宋_GB2312" w:hAnsi="仿宋_GB2312" w:eastAsia="仿宋_GB2312" w:cs="仿宋_GB2312"/>
                <w:sz w:val="30"/>
                <w:szCs w:val="30"/>
                <w:vertAlign w:val="baseline"/>
                <w:lang w:val="en-US" w:eastAsia="zh-CN"/>
              </w:rPr>
            </w:pPr>
          </w:p>
        </w:tc>
      </w:tr>
    </w:tbl>
    <w:p w14:paraId="323CC806">
      <w:pPr>
        <w:adjustRightInd w:val="0"/>
        <w:snapToGrid w:val="0"/>
        <w:ind w:firstLine="0"/>
        <w:jc w:val="both"/>
        <w:rPr>
          <w:rFonts w:hint="default"/>
          <w:lang w:val="en-US" w:eastAsia="zh-CN"/>
        </w:rPr>
      </w:pPr>
    </w:p>
    <w:sectPr>
      <w:footerReference r:id="rId3" w:type="default"/>
      <w:pgSz w:w="11906" w:h="16838"/>
      <w:pgMar w:top="2098" w:right="1474" w:bottom="1984" w:left="1587" w:header="851" w:footer="1644"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418AF3-CBA9-453A-BEDE-AD4C16E26F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embedRegular r:id="rId2" w:fontKey="{9C67B1FC-EC3B-4181-9A0E-14E82C53FB6F}"/>
  </w:font>
  <w:font w:name="仿宋_GB2312">
    <w:panose1 w:val="02010609030101010101"/>
    <w:charset w:val="86"/>
    <w:family w:val="modern"/>
    <w:pitch w:val="default"/>
    <w:sig w:usb0="00000001" w:usb1="080E0000" w:usb2="00000000" w:usb3="00000000" w:csb0="00040000" w:csb1="00000000"/>
    <w:embedRegular r:id="rId3" w:fontKey="{BA7B4536-340F-4A4E-961A-BA66291B15F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8F3C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YWRmMGRiMTEyYWJkMTNjY2Q0NmU5OTA0ZDJiZjQifQ=="/>
  </w:docVars>
  <w:rsids>
    <w:rsidRoot w:val="00000000"/>
    <w:rsid w:val="00571787"/>
    <w:rsid w:val="01FA3E0C"/>
    <w:rsid w:val="01FE69EC"/>
    <w:rsid w:val="03346F02"/>
    <w:rsid w:val="045521C0"/>
    <w:rsid w:val="05BE12CC"/>
    <w:rsid w:val="08421F33"/>
    <w:rsid w:val="09092E13"/>
    <w:rsid w:val="09360334"/>
    <w:rsid w:val="0A2B2545"/>
    <w:rsid w:val="0C523489"/>
    <w:rsid w:val="0ECC7B0E"/>
    <w:rsid w:val="0FB052A8"/>
    <w:rsid w:val="11724BAC"/>
    <w:rsid w:val="11AC6BF7"/>
    <w:rsid w:val="121F5BBC"/>
    <w:rsid w:val="122136E2"/>
    <w:rsid w:val="13BC6B43"/>
    <w:rsid w:val="14A001B5"/>
    <w:rsid w:val="15C54D72"/>
    <w:rsid w:val="16F4E2F4"/>
    <w:rsid w:val="172724A1"/>
    <w:rsid w:val="17884FE4"/>
    <w:rsid w:val="1A460E71"/>
    <w:rsid w:val="1CED0B46"/>
    <w:rsid w:val="1F787F90"/>
    <w:rsid w:val="20570C65"/>
    <w:rsid w:val="23E5650E"/>
    <w:rsid w:val="24D73BB7"/>
    <w:rsid w:val="28636A87"/>
    <w:rsid w:val="2D634DDC"/>
    <w:rsid w:val="2D987473"/>
    <w:rsid w:val="2FFD6913"/>
    <w:rsid w:val="300A0C6A"/>
    <w:rsid w:val="334409AC"/>
    <w:rsid w:val="35194CEC"/>
    <w:rsid w:val="3529561E"/>
    <w:rsid w:val="35561545"/>
    <w:rsid w:val="357A4D33"/>
    <w:rsid w:val="395F671A"/>
    <w:rsid w:val="399735AE"/>
    <w:rsid w:val="39C34BFF"/>
    <w:rsid w:val="3B1A01C3"/>
    <w:rsid w:val="3BB014AF"/>
    <w:rsid w:val="3C6D73A0"/>
    <w:rsid w:val="3C6F2E13"/>
    <w:rsid w:val="3E4D6A8B"/>
    <w:rsid w:val="3F0E5ABC"/>
    <w:rsid w:val="3FD414E4"/>
    <w:rsid w:val="3FDBD7E2"/>
    <w:rsid w:val="40104C12"/>
    <w:rsid w:val="42CF43AB"/>
    <w:rsid w:val="42D813F4"/>
    <w:rsid w:val="43222AC0"/>
    <w:rsid w:val="439A47D2"/>
    <w:rsid w:val="43DC4713"/>
    <w:rsid w:val="441B41C3"/>
    <w:rsid w:val="44F85C75"/>
    <w:rsid w:val="45E02306"/>
    <w:rsid w:val="47A143A2"/>
    <w:rsid w:val="48F74E15"/>
    <w:rsid w:val="49F7474D"/>
    <w:rsid w:val="4A3C6604"/>
    <w:rsid w:val="4A743FEF"/>
    <w:rsid w:val="4AAA50D5"/>
    <w:rsid w:val="4EFF26DC"/>
    <w:rsid w:val="514D0562"/>
    <w:rsid w:val="51621323"/>
    <w:rsid w:val="54B26E23"/>
    <w:rsid w:val="559B397E"/>
    <w:rsid w:val="55D3757A"/>
    <w:rsid w:val="57231555"/>
    <w:rsid w:val="57774702"/>
    <w:rsid w:val="5ABF4A59"/>
    <w:rsid w:val="5DED613E"/>
    <w:rsid w:val="5DF254FF"/>
    <w:rsid w:val="5F396D54"/>
    <w:rsid w:val="5FF35503"/>
    <w:rsid w:val="60680649"/>
    <w:rsid w:val="60E63744"/>
    <w:rsid w:val="61450C09"/>
    <w:rsid w:val="62A42B04"/>
    <w:rsid w:val="62A972F7"/>
    <w:rsid w:val="637F7E98"/>
    <w:rsid w:val="644A6FBA"/>
    <w:rsid w:val="648F068C"/>
    <w:rsid w:val="64A51782"/>
    <w:rsid w:val="660B53B0"/>
    <w:rsid w:val="6A634953"/>
    <w:rsid w:val="6B8532FE"/>
    <w:rsid w:val="6DCF07C4"/>
    <w:rsid w:val="6FFE1616"/>
    <w:rsid w:val="72186B35"/>
    <w:rsid w:val="726B27F9"/>
    <w:rsid w:val="73611BB3"/>
    <w:rsid w:val="742D6C31"/>
    <w:rsid w:val="74546174"/>
    <w:rsid w:val="755B1E60"/>
    <w:rsid w:val="76656E46"/>
    <w:rsid w:val="777F29CE"/>
    <w:rsid w:val="783A38D3"/>
    <w:rsid w:val="790463BB"/>
    <w:rsid w:val="7A3429D8"/>
    <w:rsid w:val="7ACE55C8"/>
    <w:rsid w:val="7BF5023D"/>
    <w:rsid w:val="7EDFCF00"/>
    <w:rsid w:val="7FAF5FF2"/>
    <w:rsid w:val="7FEFB225"/>
    <w:rsid w:val="9DBF3BBC"/>
    <w:rsid w:val="B7DFC1DA"/>
    <w:rsid w:val="BDBD3212"/>
    <w:rsid w:val="BF7D9453"/>
    <w:rsid w:val="DFE2F553"/>
    <w:rsid w:val="E9F42A4C"/>
    <w:rsid w:val="EEFF3C92"/>
    <w:rsid w:val="EFF7F56C"/>
    <w:rsid w:val="FCF3ABF3"/>
    <w:rsid w:val="FDB735BF"/>
    <w:rsid w:val="FE7A817F"/>
    <w:rsid w:val="FF9EDD73"/>
    <w:rsid w:val="FFB379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99"/>
    <w:pPr>
      <w:spacing w:after="0" w:line="560" w:lineRule="exact"/>
      <w:ind w:left="0" w:leftChars="0" w:firstLine="420" w:firstLineChars="200"/>
    </w:pPr>
    <w:rPr>
      <w:sz w:val="32"/>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280</Words>
  <Characters>280</Characters>
  <Lines>0</Lines>
  <Paragraphs>0</Paragraphs>
  <TotalTime>8</TotalTime>
  <ScaleCrop>false</ScaleCrop>
  <LinksUpToDate>false</LinksUpToDate>
  <CharactersWithSpaces>319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2024-03-15T09:41:00Z</dcterms:created>
  <dc:creator>dell</dc:creator>
  <cp:lastModifiedBy>一</cp:lastModifiedBy>
  <cp:lastPrinted>2025-04-28T07:51:00Z</cp:lastPrinted>
  <dcterms:modified xsi:type="dcterms:W3CDTF">2025-04-30T01:13:51Z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6F446B0492EC42528E1A2A51FFA763FC_13</vt:lpwstr>
  </property>
  <property fmtid="{D5CDD505-2E9C-101B-9397-08002B2CF9AE}" pid="4" name="KSOTemplateDocerSaveRecord">
    <vt:lpwstr>eyJoZGlkIjoiMTc4ZGMyMDBiOTc1NGM5ODEzNTZhMWVjNWI4NDdiNTQiLCJ1c2VySWQiOiIzOTUwNzQ2NzcifQ==</vt:lpwstr>
  </property>
</Properties>
</file>