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44"/>
          <w:szCs w:val="44"/>
        </w:rPr>
      </w:pPr>
      <w:r>
        <w:rPr>
          <w:rFonts w:hint="eastAsia" w:ascii="黑体" w:hAnsi="黑体" w:eastAsia="黑体" w:cs="黑体"/>
          <w:sz w:val="32"/>
          <w:szCs w:val="32"/>
        </w:rPr>
        <w:t>附件5</w:t>
      </w:r>
    </w:p>
    <w:p>
      <w:pPr>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省级学前教育游戏活动实验区创建标准</w:t>
      </w:r>
    </w:p>
    <w:tbl>
      <w:tblPr>
        <w:tblStyle w:val="7"/>
        <w:tblW w:w="155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9"/>
        <w:gridCol w:w="1350"/>
        <w:gridCol w:w="2565"/>
        <w:gridCol w:w="103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blHeader/>
          <w:jc w:val="center"/>
        </w:trPr>
        <w:tc>
          <w:tcPr>
            <w:tcW w:w="1269" w:type="dxa"/>
            <w:noWrap w:val="0"/>
            <w:vAlign w:val="center"/>
          </w:tcPr>
          <w:p>
            <w:pPr>
              <w:widowControl/>
              <w:jc w:val="center"/>
              <w:rPr>
                <w:rFonts w:hint="eastAsia" w:ascii="黑体" w:hAnsi="黑体" w:eastAsia="黑体"/>
                <w:color w:val="000000"/>
                <w:kern w:val="0"/>
                <w:sz w:val="24"/>
                <w:lang w:bidi="ar"/>
              </w:rPr>
            </w:pPr>
            <w:r>
              <w:rPr>
                <w:rFonts w:hint="eastAsia" w:ascii="黑体" w:hAnsi="黑体" w:eastAsia="黑体"/>
                <w:color w:val="000000"/>
                <w:kern w:val="0"/>
                <w:sz w:val="24"/>
                <w:lang w:bidi="ar"/>
              </w:rPr>
              <w:t>一级指标</w:t>
            </w:r>
          </w:p>
        </w:tc>
        <w:tc>
          <w:tcPr>
            <w:tcW w:w="1350" w:type="dxa"/>
            <w:noWrap w:val="0"/>
            <w:vAlign w:val="center"/>
          </w:tcPr>
          <w:p>
            <w:pPr>
              <w:widowControl/>
              <w:jc w:val="center"/>
              <w:rPr>
                <w:rFonts w:hint="eastAsia" w:ascii="黑体" w:hAnsi="黑体" w:eastAsia="黑体"/>
                <w:color w:val="000000"/>
                <w:kern w:val="0"/>
                <w:sz w:val="24"/>
                <w:lang w:bidi="ar"/>
              </w:rPr>
            </w:pPr>
            <w:r>
              <w:rPr>
                <w:rFonts w:hint="eastAsia" w:ascii="黑体" w:hAnsi="黑体" w:eastAsia="黑体"/>
                <w:color w:val="000000"/>
                <w:kern w:val="0"/>
                <w:sz w:val="24"/>
                <w:lang w:bidi="ar"/>
              </w:rPr>
              <w:t>二级指标</w:t>
            </w:r>
          </w:p>
        </w:tc>
        <w:tc>
          <w:tcPr>
            <w:tcW w:w="2565" w:type="dxa"/>
            <w:noWrap w:val="0"/>
            <w:vAlign w:val="center"/>
          </w:tcPr>
          <w:p>
            <w:pPr>
              <w:widowControl/>
              <w:jc w:val="center"/>
              <w:rPr>
                <w:rFonts w:hint="eastAsia" w:ascii="黑体" w:hAnsi="黑体" w:eastAsia="黑体"/>
                <w:color w:val="000000"/>
                <w:kern w:val="0"/>
                <w:sz w:val="24"/>
                <w:lang w:bidi="ar"/>
              </w:rPr>
            </w:pPr>
            <w:r>
              <w:rPr>
                <w:rFonts w:hint="eastAsia" w:ascii="黑体" w:hAnsi="黑体" w:eastAsia="黑体"/>
                <w:color w:val="000000"/>
                <w:kern w:val="0"/>
                <w:sz w:val="24"/>
                <w:lang w:bidi="ar"/>
              </w:rPr>
              <w:t>三级指标</w:t>
            </w:r>
          </w:p>
        </w:tc>
        <w:tc>
          <w:tcPr>
            <w:tcW w:w="10365" w:type="dxa"/>
            <w:noWrap w:val="0"/>
            <w:vAlign w:val="center"/>
          </w:tcPr>
          <w:p>
            <w:pPr>
              <w:widowControl/>
              <w:jc w:val="center"/>
              <w:rPr>
                <w:rFonts w:hint="eastAsia" w:ascii="黑体" w:hAnsi="黑体" w:eastAsia="黑体"/>
                <w:color w:val="000000"/>
                <w:kern w:val="0"/>
                <w:sz w:val="24"/>
                <w:lang w:bidi="ar"/>
              </w:rPr>
            </w:pPr>
            <w:r>
              <w:rPr>
                <w:rFonts w:hint="eastAsia" w:ascii="黑体" w:hAnsi="黑体" w:eastAsia="黑体" w:cs="黑体"/>
                <w:color w:val="000000"/>
                <w:kern w:val="0"/>
                <w:sz w:val="24"/>
                <w:szCs w:val="24"/>
                <w:lang w:bidi="ar"/>
              </w:rPr>
              <w:t>考查要点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69" w:type="dxa"/>
            <w:vMerge w:val="restart"/>
            <w:noWrap w:val="0"/>
            <w:vAlign w:val="center"/>
          </w:tcPr>
          <w:p>
            <w:pPr>
              <w:widowControl/>
              <w:jc w:val="center"/>
              <w:rPr>
                <w:rFonts w:hint="eastAsia" w:ascii="仿宋_GB2312" w:hAnsi="仿宋_GB2312" w:eastAsia="仿宋_GB2312"/>
                <w:color w:val="000000"/>
                <w:kern w:val="0"/>
                <w:sz w:val="24"/>
                <w:szCs w:val="24"/>
                <w:lang w:bidi="ar"/>
              </w:rPr>
            </w:pPr>
            <w:r>
              <w:rPr>
                <w:rFonts w:hint="eastAsia" w:ascii="仿宋_GB2312" w:hAnsi="仿宋_GB2312" w:eastAsia="仿宋_GB2312"/>
                <w:color w:val="000000"/>
                <w:kern w:val="0"/>
                <w:sz w:val="24"/>
                <w:szCs w:val="24"/>
                <w:lang w:bidi="ar"/>
              </w:rPr>
              <w:t>A1.组织管理（20分）</w:t>
            </w:r>
          </w:p>
        </w:tc>
        <w:tc>
          <w:tcPr>
            <w:tcW w:w="1350" w:type="dxa"/>
            <w:noWrap w:val="0"/>
            <w:vAlign w:val="center"/>
          </w:tcPr>
          <w:p>
            <w:pPr>
              <w:widowControl/>
              <w:jc w:val="center"/>
              <w:rPr>
                <w:rStyle w:val="10"/>
                <w:rFonts w:ascii="仿宋_GB2312" w:hAnsi="仿宋_GB2312" w:eastAsia="仿宋_GB2312"/>
                <w:sz w:val="24"/>
                <w:szCs w:val="24"/>
                <w:lang w:bidi="ar"/>
              </w:rPr>
            </w:pPr>
            <w:r>
              <w:rPr>
                <w:rStyle w:val="10"/>
                <w:rFonts w:ascii="仿宋_GB2312" w:hAnsi="仿宋_GB2312" w:eastAsia="仿宋_GB2312"/>
                <w:sz w:val="24"/>
                <w:szCs w:val="24"/>
                <w:lang w:bidi="ar"/>
              </w:rPr>
              <w:t>B1.教育理念</w:t>
            </w:r>
            <w:r>
              <w:rPr>
                <w:rStyle w:val="11"/>
                <w:rFonts w:hint="eastAsia" w:ascii="仿宋_GB2312" w:hAnsi="仿宋_GB2312" w:eastAsia="仿宋_GB2312"/>
                <w:lang w:bidi="ar"/>
              </w:rPr>
              <w:t>（5分）</w:t>
            </w:r>
          </w:p>
        </w:tc>
        <w:tc>
          <w:tcPr>
            <w:tcW w:w="2565" w:type="dxa"/>
            <w:noWrap w:val="0"/>
            <w:vAlign w:val="center"/>
          </w:tcPr>
          <w:p>
            <w:pPr>
              <w:widowControl/>
              <w:rPr>
                <w:rStyle w:val="10"/>
                <w:rFonts w:ascii="仿宋_GB2312" w:hAnsi="仿宋_GB2312" w:eastAsia="仿宋_GB2312"/>
                <w:sz w:val="24"/>
                <w:szCs w:val="24"/>
                <w:lang w:bidi="ar"/>
              </w:rPr>
            </w:pPr>
            <w:r>
              <w:rPr>
                <w:rStyle w:val="10"/>
                <w:rFonts w:ascii="仿宋_GB2312" w:hAnsi="仿宋_GB2312" w:eastAsia="仿宋_GB2312"/>
                <w:sz w:val="24"/>
                <w:szCs w:val="24"/>
                <w:lang w:bidi="ar"/>
              </w:rPr>
              <w:t>C1.</w:t>
            </w:r>
            <w:r>
              <w:rPr>
                <w:rStyle w:val="11"/>
                <w:rFonts w:hint="eastAsia" w:ascii="仿宋_GB2312" w:hAnsi="仿宋_GB2312" w:eastAsia="仿宋_GB2312"/>
                <w:lang w:bidi="ar"/>
              </w:rPr>
              <w:t>教育理念正确，坚持以游戏为基本活动，珍视生活与游戏的独特教育价值。（5分）</w:t>
            </w:r>
          </w:p>
        </w:tc>
        <w:tc>
          <w:tcPr>
            <w:tcW w:w="10365" w:type="dxa"/>
            <w:noWrap w:val="0"/>
            <w:vAlign w:val="center"/>
          </w:tcPr>
          <w:p>
            <w:pPr>
              <w:widowControl/>
              <w:rPr>
                <w:rStyle w:val="11"/>
                <w:rFonts w:hint="eastAsia" w:ascii="仿宋_GB2312" w:hAnsi="仿宋_GB2312" w:eastAsia="仿宋_GB2312"/>
                <w:lang w:bidi="ar"/>
              </w:rPr>
            </w:pPr>
            <w:r>
              <w:rPr>
                <w:rStyle w:val="11"/>
                <w:rFonts w:hint="eastAsia" w:ascii="仿宋_GB2312" w:hAnsi="仿宋_GB2312" w:eastAsia="仿宋_GB2312"/>
                <w:lang w:bidi="ar"/>
              </w:rPr>
              <w:t>1.贯彻落实《幼儿园教育指导纲要（试行）》《3—6岁儿童学习与发展指南》《幼儿园保育教育质量评估指南》精神，以游戏为基本活动，树立科学的儿童观、教育观、游戏观、课程观，尊重幼儿游戏的权利。（2分）</w:t>
            </w:r>
            <w:r>
              <w:rPr>
                <w:rStyle w:val="11"/>
                <w:rFonts w:hint="eastAsia" w:ascii="仿宋_GB2312" w:hAnsi="仿宋_GB2312" w:eastAsia="仿宋_GB2312"/>
                <w:lang w:bidi="ar"/>
              </w:rPr>
              <w:br w:type="textWrapping"/>
            </w:r>
            <w:r>
              <w:rPr>
                <w:rStyle w:val="11"/>
                <w:rFonts w:hint="eastAsia" w:ascii="仿宋_GB2312" w:hAnsi="仿宋_GB2312" w:eastAsia="仿宋_GB2312"/>
                <w:lang w:bidi="ar"/>
              </w:rPr>
              <w:t>2.坚持儿童为本，尊重幼儿的学习方式和学习特点，关注个体差异，充分理解和支持幼儿在游戏中的想法和行为，促进每一名幼儿在原有水平上得到发展。（3分）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5" w:hRule="atLeast"/>
          <w:jc w:val="center"/>
        </w:trPr>
        <w:tc>
          <w:tcPr>
            <w:tcW w:w="1269" w:type="dxa"/>
            <w:vMerge w:val="continue"/>
            <w:noWrap w:val="0"/>
            <w:vAlign w:val="center"/>
          </w:tcPr>
          <w:p>
            <w:pPr>
              <w:jc w:val="center"/>
              <w:rPr>
                <w:rFonts w:hint="eastAsia" w:ascii="仿宋_GB2312" w:hAnsi="仿宋_GB2312" w:eastAsia="仿宋_GB2312"/>
                <w:color w:val="000000"/>
                <w:sz w:val="24"/>
                <w:szCs w:val="24"/>
              </w:rPr>
            </w:pPr>
          </w:p>
        </w:tc>
        <w:tc>
          <w:tcPr>
            <w:tcW w:w="1350" w:type="dxa"/>
            <w:vMerge w:val="restart"/>
            <w:noWrap w:val="0"/>
            <w:vAlign w:val="center"/>
          </w:tcPr>
          <w:p>
            <w:pPr>
              <w:widowControl/>
              <w:jc w:val="center"/>
              <w:rPr>
                <w:rStyle w:val="10"/>
                <w:rFonts w:ascii="仿宋_GB2312" w:hAnsi="仿宋_GB2312" w:eastAsia="仿宋_GB2312"/>
                <w:sz w:val="24"/>
                <w:szCs w:val="24"/>
                <w:lang w:bidi="ar"/>
              </w:rPr>
            </w:pPr>
            <w:r>
              <w:rPr>
                <w:rStyle w:val="10"/>
                <w:rFonts w:ascii="仿宋_GB2312" w:hAnsi="仿宋_GB2312" w:eastAsia="仿宋_GB2312"/>
                <w:sz w:val="24"/>
                <w:szCs w:val="24"/>
                <w:lang w:bidi="ar"/>
              </w:rPr>
              <w:t>B2.组织领导</w:t>
            </w:r>
            <w:r>
              <w:rPr>
                <w:rStyle w:val="11"/>
                <w:rFonts w:hint="eastAsia" w:ascii="仿宋_GB2312" w:hAnsi="仿宋_GB2312" w:eastAsia="仿宋_GB2312"/>
                <w:lang w:bidi="ar"/>
              </w:rPr>
              <w:t>（8分）</w:t>
            </w:r>
          </w:p>
        </w:tc>
        <w:tc>
          <w:tcPr>
            <w:tcW w:w="2565" w:type="dxa"/>
            <w:noWrap w:val="0"/>
            <w:vAlign w:val="center"/>
          </w:tcPr>
          <w:p>
            <w:pPr>
              <w:widowControl/>
              <w:rPr>
                <w:rStyle w:val="10"/>
                <w:rFonts w:ascii="仿宋_GB2312" w:hAnsi="仿宋_GB2312" w:eastAsia="仿宋_GB2312"/>
                <w:sz w:val="24"/>
                <w:szCs w:val="24"/>
                <w:lang w:bidi="ar"/>
              </w:rPr>
            </w:pPr>
            <w:r>
              <w:rPr>
                <w:rStyle w:val="10"/>
                <w:rFonts w:ascii="仿宋_GB2312" w:hAnsi="仿宋_GB2312" w:eastAsia="仿宋_GB2312"/>
                <w:sz w:val="24"/>
                <w:szCs w:val="24"/>
                <w:lang w:bidi="ar"/>
              </w:rPr>
              <w:t>C2.组织机构健全，人员职责明确，工作落实到位。</w:t>
            </w:r>
            <w:r>
              <w:rPr>
                <w:rStyle w:val="11"/>
                <w:rFonts w:hint="eastAsia" w:ascii="仿宋_GB2312" w:hAnsi="仿宋_GB2312" w:eastAsia="仿宋_GB2312"/>
                <w:lang w:bidi="ar"/>
              </w:rPr>
              <w:t>（4分）</w:t>
            </w:r>
          </w:p>
        </w:tc>
        <w:tc>
          <w:tcPr>
            <w:tcW w:w="10365" w:type="dxa"/>
            <w:noWrap w:val="0"/>
            <w:vAlign w:val="center"/>
          </w:tcPr>
          <w:p>
            <w:pPr>
              <w:widowControl/>
              <w:rPr>
                <w:rStyle w:val="11"/>
                <w:rFonts w:hint="eastAsia" w:ascii="仿宋_GB2312" w:hAnsi="仿宋_GB2312" w:eastAsia="仿宋_GB2312"/>
                <w:lang w:bidi="ar"/>
              </w:rPr>
            </w:pPr>
            <w:r>
              <w:rPr>
                <w:rStyle w:val="11"/>
                <w:rFonts w:hint="eastAsia" w:ascii="仿宋_GB2312" w:hAnsi="仿宋_GB2312" w:eastAsia="仿宋_GB2312"/>
                <w:lang w:bidi="ar"/>
              </w:rPr>
              <w:t>1.将实验区创建工作纳入重要议事日程，组织机构健全，成立由主要领导或分管领导牵头的领导小组和工作小组，管理到位。（2分）</w:t>
            </w:r>
            <w:r>
              <w:rPr>
                <w:rStyle w:val="11"/>
                <w:rFonts w:hint="eastAsia" w:ascii="仿宋_GB2312" w:hAnsi="仿宋_GB2312" w:eastAsia="仿宋_GB2312"/>
                <w:lang w:bidi="ar"/>
              </w:rPr>
              <w:br w:type="textWrapping"/>
            </w:r>
            <w:r>
              <w:rPr>
                <w:rStyle w:val="11"/>
                <w:rFonts w:hint="eastAsia" w:ascii="仿宋_GB2312" w:hAnsi="仿宋_GB2312" w:eastAsia="仿宋_GB2312"/>
                <w:lang w:bidi="ar"/>
              </w:rPr>
              <w:t>2.小组成员明确实验区建设目标和任务，统筹协调实验区工作所需人员、经费投入、资源配置，切实推进实验区的建设工作。（2分）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2" w:hRule="atLeast"/>
          <w:jc w:val="center"/>
        </w:trPr>
        <w:tc>
          <w:tcPr>
            <w:tcW w:w="1269" w:type="dxa"/>
            <w:vMerge w:val="continue"/>
            <w:noWrap w:val="0"/>
            <w:vAlign w:val="center"/>
          </w:tcPr>
          <w:p>
            <w:pPr>
              <w:jc w:val="center"/>
              <w:rPr>
                <w:rFonts w:hint="eastAsia" w:ascii="仿宋_GB2312" w:hAnsi="仿宋_GB2312" w:eastAsia="仿宋_GB2312"/>
                <w:color w:val="000000"/>
                <w:sz w:val="24"/>
                <w:szCs w:val="24"/>
              </w:rPr>
            </w:pPr>
          </w:p>
        </w:tc>
        <w:tc>
          <w:tcPr>
            <w:tcW w:w="1350" w:type="dxa"/>
            <w:vMerge w:val="continue"/>
            <w:noWrap w:val="0"/>
            <w:vAlign w:val="center"/>
          </w:tcPr>
          <w:p>
            <w:pPr>
              <w:jc w:val="center"/>
              <w:rPr>
                <w:rFonts w:hint="eastAsia" w:ascii="仿宋_GB2312" w:hAnsi="仿宋_GB2312" w:eastAsia="仿宋_GB2312"/>
                <w:color w:val="000000"/>
                <w:sz w:val="24"/>
                <w:szCs w:val="24"/>
              </w:rPr>
            </w:pPr>
          </w:p>
        </w:tc>
        <w:tc>
          <w:tcPr>
            <w:tcW w:w="2565" w:type="dxa"/>
            <w:noWrap w:val="0"/>
            <w:vAlign w:val="center"/>
          </w:tcPr>
          <w:p>
            <w:pPr>
              <w:widowControl/>
              <w:rPr>
                <w:rStyle w:val="10"/>
                <w:rFonts w:ascii="仿宋_GB2312" w:hAnsi="仿宋_GB2312" w:eastAsia="仿宋_GB2312"/>
                <w:sz w:val="24"/>
                <w:szCs w:val="24"/>
                <w:lang w:bidi="ar"/>
              </w:rPr>
            </w:pPr>
            <w:r>
              <w:rPr>
                <w:rStyle w:val="10"/>
                <w:rFonts w:ascii="仿宋_GB2312" w:hAnsi="仿宋_GB2312" w:eastAsia="仿宋_GB2312"/>
                <w:sz w:val="24"/>
                <w:szCs w:val="24"/>
                <w:lang w:bidi="ar"/>
              </w:rPr>
              <w:t>C3.实验方案符合本地区实际，目标任务明确，政策措施具体，成效显著。</w:t>
            </w:r>
            <w:r>
              <w:rPr>
                <w:rStyle w:val="11"/>
                <w:rFonts w:hint="eastAsia" w:ascii="仿宋_GB2312" w:hAnsi="仿宋_GB2312" w:eastAsia="仿宋_GB2312"/>
                <w:lang w:bidi="ar"/>
              </w:rPr>
              <w:t>（4分）</w:t>
            </w:r>
          </w:p>
        </w:tc>
        <w:tc>
          <w:tcPr>
            <w:tcW w:w="10365" w:type="dxa"/>
            <w:noWrap w:val="0"/>
            <w:vAlign w:val="center"/>
          </w:tcPr>
          <w:p>
            <w:pPr>
              <w:widowControl/>
              <w:rPr>
                <w:rStyle w:val="11"/>
                <w:rFonts w:hint="eastAsia" w:ascii="仿宋_GB2312" w:hAnsi="仿宋_GB2312" w:eastAsia="仿宋_GB2312"/>
                <w:lang w:bidi="ar"/>
              </w:rPr>
            </w:pPr>
            <w:r>
              <w:rPr>
                <w:rStyle w:val="11"/>
                <w:rFonts w:hint="eastAsia" w:ascii="仿宋_GB2312" w:hAnsi="仿宋_GB2312" w:eastAsia="仿宋_GB2312"/>
                <w:lang w:bidi="ar"/>
              </w:rPr>
              <w:t>1.实验方案立足区域实际，合理可行，工作思路、年度目标、保障措施、进度安排、责任主体、投入保障、预期成果明确。（2分）</w:t>
            </w:r>
            <w:r>
              <w:rPr>
                <w:rStyle w:val="11"/>
                <w:rFonts w:hint="eastAsia" w:ascii="仿宋_GB2312" w:hAnsi="仿宋_GB2312" w:eastAsia="仿宋_GB2312"/>
                <w:lang w:bidi="ar"/>
              </w:rPr>
              <w:br w:type="textWrapping"/>
            </w:r>
            <w:r>
              <w:rPr>
                <w:rStyle w:val="11"/>
                <w:rFonts w:hint="eastAsia" w:ascii="仿宋_GB2312" w:hAnsi="仿宋_GB2312" w:eastAsia="仿宋_GB2312"/>
                <w:lang w:bidi="ar"/>
              </w:rPr>
              <w:t>2.严格按照实验方案认真组织实施，并不断总结工作中探索成功的新思路、新机制、新模式，用好经验、好做法带动区域学前教育质量的快速提升。（2分）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80" w:hRule="atLeast"/>
          <w:jc w:val="center"/>
        </w:trPr>
        <w:tc>
          <w:tcPr>
            <w:tcW w:w="1269" w:type="dxa"/>
            <w:vMerge w:val="continue"/>
            <w:noWrap w:val="0"/>
            <w:vAlign w:val="center"/>
          </w:tcPr>
          <w:p>
            <w:pPr>
              <w:jc w:val="center"/>
              <w:rPr>
                <w:rFonts w:hint="eastAsia" w:ascii="仿宋_GB2312" w:hAnsi="仿宋_GB2312" w:eastAsia="仿宋_GB2312"/>
                <w:color w:val="000000"/>
                <w:sz w:val="24"/>
                <w:szCs w:val="24"/>
              </w:rPr>
            </w:pPr>
          </w:p>
        </w:tc>
        <w:tc>
          <w:tcPr>
            <w:tcW w:w="1350" w:type="dxa"/>
            <w:noWrap w:val="0"/>
            <w:vAlign w:val="center"/>
          </w:tcPr>
          <w:p>
            <w:pPr>
              <w:widowControl/>
              <w:jc w:val="center"/>
              <w:rPr>
                <w:rStyle w:val="10"/>
                <w:rFonts w:ascii="仿宋_GB2312" w:hAnsi="仿宋_GB2312" w:eastAsia="仿宋_GB2312"/>
                <w:sz w:val="24"/>
                <w:szCs w:val="24"/>
                <w:lang w:bidi="ar"/>
              </w:rPr>
            </w:pPr>
            <w:r>
              <w:rPr>
                <w:rStyle w:val="10"/>
                <w:rFonts w:ascii="仿宋_GB2312" w:hAnsi="仿宋_GB2312" w:eastAsia="仿宋_GB2312"/>
                <w:sz w:val="24"/>
                <w:szCs w:val="24"/>
                <w:lang w:bidi="ar"/>
              </w:rPr>
              <w:t>B3.督导评估</w:t>
            </w:r>
            <w:r>
              <w:rPr>
                <w:rStyle w:val="11"/>
                <w:rFonts w:hint="eastAsia" w:ascii="仿宋_GB2312" w:hAnsi="仿宋_GB2312" w:eastAsia="仿宋_GB2312"/>
                <w:lang w:bidi="ar"/>
              </w:rPr>
              <w:t>（7分）</w:t>
            </w:r>
          </w:p>
        </w:tc>
        <w:tc>
          <w:tcPr>
            <w:tcW w:w="2565" w:type="dxa"/>
            <w:noWrap w:val="0"/>
            <w:vAlign w:val="center"/>
          </w:tcPr>
          <w:p>
            <w:pPr>
              <w:widowControl/>
              <w:rPr>
                <w:rStyle w:val="10"/>
                <w:rFonts w:ascii="仿宋_GB2312" w:hAnsi="仿宋_GB2312" w:eastAsia="仿宋_GB2312"/>
                <w:sz w:val="24"/>
                <w:szCs w:val="24"/>
                <w:lang w:bidi="ar"/>
              </w:rPr>
            </w:pPr>
            <w:r>
              <w:rPr>
                <w:rStyle w:val="10"/>
                <w:rFonts w:ascii="仿宋_GB2312" w:hAnsi="仿宋_GB2312" w:eastAsia="仿宋_GB2312"/>
                <w:sz w:val="24"/>
                <w:szCs w:val="24"/>
                <w:lang w:bidi="ar"/>
              </w:rPr>
              <w:t>C4.考核督查机制健全，有效推动实验工作开展。</w:t>
            </w:r>
            <w:r>
              <w:rPr>
                <w:rStyle w:val="11"/>
                <w:rFonts w:hint="eastAsia" w:ascii="仿宋_GB2312" w:hAnsi="仿宋_GB2312" w:eastAsia="仿宋_GB2312"/>
                <w:lang w:bidi="ar"/>
              </w:rPr>
              <w:t>（7分）</w:t>
            </w:r>
          </w:p>
        </w:tc>
        <w:tc>
          <w:tcPr>
            <w:tcW w:w="10365" w:type="dxa"/>
            <w:noWrap w:val="0"/>
            <w:vAlign w:val="center"/>
          </w:tcPr>
          <w:p>
            <w:pPr>
              <w:widowControl/>
              <w:rPr>
                <w:rStyle w:val="11"/>
                <w:rFonts w:hint="eastAsia" w:ascii="仿宋_GB2312" w:hAnsi="仿宋_GB2312" w:eastAsia="仿宋_GB2312"/>
                <w:lang w:bidi="ar"/>
              </w:rPr>
            </w:pPr>
            <w:r>
              <w:rPr>
                <w:rStyle w:val="11"/>
                <w:rFonts w:hint="eastAsia" w:ascii="仿宋_GB2312" w:hAnsi="仿宋_GB2312" w:eastAsia="仿宋_GB2312"/>
                <w:lang w:bidi="ar"/>
              </w:rPr>
              <w:t>1.将实验区建设作为重点工作，纳入年度教育工作综合评价，通过定期调度、保教质量评估等加强考核督查，确保实验工作扎实开展。（3分）</w:t>
            </w:r>
            <w:r>
              <w:rPr>
                <w:rStyle w:val="11"/>
                <w:rFonts w:hint="eastAsia" w:ascii="仿宋_GB2312" w:hAnsi="仿宋_GB2312" w:eastAsia="仿宋_GB2312"/>
                <w:lang w:bidi="ar"/>
              </w:rPr>
              <w:br w:type="textWrapping"/>
            </w:r>
            <w:r>
              <w:rPr>
                <w:rStyle w:val="11"/>
                <w:rFonts w:hint="eastAsia" w:ascii="仿宋_GB2312" w:hAnsi="仿宋_GB2312" w:eastAsia="仿宋_GB2312"/>
                <w:lang w:bidi="ar"/>
              </w:rPr>
              <w:t>2.充分发挥教育督学的职责，开展常态化督导，推动幼儿园以游戏精神贯穿一日生活，促进幼儿身心和谐发展。（2分）</w:t>
            </w:r>
            <w:r>
              <w:rPr>
                <w:rStyle w:val="11"/>
                <w:rFonts w:hint="eastAsia" w:ascii="仿宋_GB2312" w:hAnsi="仿宋_GB2312" w:eastAsia="仿宋_GB2312"/>
                <w:lang w:bidi="ar"/>
              </w:rPr>
              <w:br w:type="textWrapping"/>
            </w:r>
            <w:r>
              <w:rPr>
                <w:rStyle w:val="11"/>
                <w:rFonts w:hint="eastAsia" w:ascii="仿宋_GB2312" w:hAnsi="仿宋_GB2312" w:eastAsia="仿宋_GB2312"/>
                <w:lang w:bidi="ar"/>
              </w:rPr>
              <w:t>3.探索构建以关注生活，关注游戏，关注教育过程，促进师幼互动，发展幼儿好奇、专注、探究、创造、合作等良好学习品质为导向的幼儿园保育教育质量评估监管体系，定期对区域内游戏活动开展情况进行过程性评估。（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5" w:hRule="atLeast"/>
          <w:jc w:val="center"/>
        </w:trPr>
        <w:tc>
          <w:tcPr>
            <w:tcW w:w="1269" w:type="dxa"/>
            <w:vMerge w:val="restart"/>
            <w:noWrap w:val="0"/>
            <w:vAlign w:val="center"/>
          </w:tcPr>
          <w:p>
            <w:pPr>
              <w:widowControl/>
              <w:jc w:val="center"/>
              <w:rPr>
                <w:rStyle w:val="10"/>
                <w:rFonts w:ascii="仿宋_GB2312" w:hAnsi="仿宋_GB2312" w:eastAsia="仿宋_GB2312"/>
                <w:sz w:val="24"/>
                <w:szCs w:val="24"/>
                <w:lang w:bidi="ar"/>
              </w:rPr>
            </w:pPr>
            <w:r>
              <w:rPr>
                <w:rStyle w:val="10"/>
                <w:rFonts w:ascii="仿宋_GB2312" w:hAnsi="仿宋_GB2312" w:eastAsia="仿宋_GB2312"/>
                <w:sz w:val="24"/>
                <w:szCs w:val="24"/>
                <w:lang w:bidi="ar"/>
              </w:rPr>
              <w:t>A2.条件保障</w:t>
            </w:r>
            <w:r>
              <w:rPr>
                <w:rStyle w:val="11"/>
                <w:rFonts w:hint="eastAsia" w:ascii="仿宋_GB2312" w:hAnsi="仿宋_GB2312" w:eastAsia="仿宋_GB2312"/>
                <w:lang w:bidi="ar"/>
              </w:rPr>
              <w:t>（15分）</w:t>
            </w:r>
          </w:p>
        </w:tc>
        <w:tc>
          <w:tcPr>
            <w:tcW w:w="1350" w:type="dxa"/>
            <w:noWrap w:val="0"/>
            <w:vAlign w:val="center"/>
          </w:tcPr>
          <w:p>
            <w:pPr>
              <w:widowControl/>
              <w:jc w:val="center"/>
              <w:rPr>
                <w:rFonts w:hint="eastAsia" w:ascii="仿宋_GB2312" w:hAnsi="仿宋_GB2312" w:eastAsia="仿宋_GB2312"/>
                <w:color w:val="000000"/>
                <w:kern w:val="0"/>
                <w:sz w:val="24"/>
                <w:szCs w:val="24"/>
                <w:lang w:bidi="ar"/>
              </w:rPr>
            </w:pPr>
            <w:r>
              <w:rPr>
                <w:rFonts w:hint="eastAsia" w:ascii="仿宋_GB2312" w:hAnsi="仿宋_GB2312" w:eastAsia="仿宋_GB2312"/>
                <w:color w:val="000000"/>
                <w:kern w:val="0"/>
                <w:sz w:val="24"/>
                <w:szCs w:val="24"/>
                <w:lang w:bidi="ar"/>
              </w:rPr>
              <w:t>B4.制度保障（5分）</w:t>
            </w:r>
          </w:p>
        </w:tc>
        <w:tc>
          <w:tcPr>
            <w:tcW w:w="2565" w:type="dxa"/>
            <w:noWrap w:val="0"/>
            <w:vAlign w:val="center"/>
          </w:tcPr>
          <w:p>
            <w:pPr>
              <w:widowControl/>
              <w:rPr>
                <w:rStyle w:val="12"/>
                <w:rFonts w:hAnsi="仿宋_GB2312"/>
                <w:lang w:bidi="ar"/>
              </w:rPr>
            </w:pPr>
            <w:r>
              <w:rPr>
                <w:rStyle w:val="10"/>
                <w:rFonts w:ascii="仿宋_GB2312" w:eastAsia="仿宋_GB2312"/>
              </w:rPr>
              <w:t>C5.</w:t>
            </w:r>
            <w:r>
              <w:rPr>
                <w:rStyle w:val="10"/>
                <w:rFonts w:ascii="仿宋_GB2312" w:hAnsi="仿宋_GB2312" w:eastAsia="仿宋_GB2312"/>
                <w:sz w:val="24"/>
                <w:szCs w:val="24"/>
                <w:lang w:bidi="ar"/>
              </w:rPr>
              <w:t>管理制度完善，落实到位。（5分）</w:t>
            </w:r>
          </w:p>
        </w:tc>
        <w:tc>
          <w:tcPr>
            <w:tcW w:w="10365" w:type="dxa"/>
            <w:noWrap w:val="0"/>
            <w:vAlign w:val="center"/>
          </w:tcPr>
          <w:p>
            <w:pPr>
              <w:widowControl/>
              <w:rPr>
                <w:rStyle w:val="11"/>
                <w:rFonts w:hint="eastAsia" w:ascii="仿宋_GB2312" w:hAnsi="仿宋_GB2312" w:eastAsia="仿宋_GB2312"/>
                <w:lang w:bidi="ar"/>
              </w:rPr>
            </w:pPr>
            <w:r>
              <w:rPr>
                <w:rStyle w:val="11"/>
                <w:rFonts w:hint="eastAsia" w:ascii="仿宋_GB2312" w:hAnsi="仿宋_GB2312" w:eastAsia="仿宋_GB2312"/>
                <w:lang w:bidi="ar"/>
              </w:rPr>
              <w:t>1.教研、培训、评估等各项制度健全完善，科学合理。（2分）</w:t>
            </w:r>
            <w:r>
              <w:rPr>
                <w:rStyle w:val="11"/>
                <w:rFonts w:hint="eastAsia" w:ascii="仿宋_GB2312" w:hAnsi="仿宋_GB2312" w:eastAsia="仿宋_GB2312"/>
                <w:lang w:bidi="ar"/>
              </w:rPr>
              <w:br w:type="textWrapping"/>
            </w:r>
            <w:r>
              <w:rPr>
                <w:rStyle w:val="11"/>
                <w:rFonts w:hint="eastAsia" w:ascii="仿宋_GB2312" w:hAnsi="仿宋_GB2312" w:eastAsia="仿宋_GB2312"/>
                <w:lang w:bidi="ar"/>
              </w:rPr>
              <w:t>2.各项制度落实到位，有过程性材料。（3分）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5" w:hRule="atLeast"/>
          <w:jc w:val="center"/>
        </w:trPr>
        <w:tc>
          <w:tcPr>
            <w:tcW w:w="1269" w:type="dxa"/>
            <w:vMerge w:val="continue"/>
            <w:noWrap w:val="0"/>
            <w:vAlign w:val="center"/>
          </w:tcPr>
          <w:p>
            <w:pPr>
              <w:jc w:val="center"/>
              <w:rPr>
                <w:rFonts w:hint="eastAsia" w:ascii="仿宋_GB2312" w:hAnsi="仿宋_GB2312" w:eastAsia="仿宋_GB2312"/>
                <w:color w:val="000000"/>
                <w:sz w:val="24"/>
                <w:szCs w:val="24"/>
              </w:rPr>
            </w:pPr>
          </w:p>
        </w:tc>
        <w:tc>
          <w:tcPr>
            <w:tcW w:w="1350" w:type="dxa"/>
            <w:noWrap w:val="0"/>
            <w:vAlign w:val="center"/>
          </w:tcPr>
          <w:p>
            <w:pPr>
              <w:widowControl/>
              <w:jc w:val="center"/>
              <w:rPr>
                <w:rStyle w:val="10"/>
                <w:rFonts w:ascii="仿宋_GB2312" w:hAnsi="仿宋_GB2312" w:eastAsia="仿宋_GB2312"/>
                <w:sz w:val="24"/>
                <w:szCs w:val="24"/>
                <w:lang w:bidi="ar"/>
              </w:rPr>
            </w:pPr>
            <w:r>
              <w:rPr>
                <w:rStyle w:val="10"/>
                <w:rFonts w:ascii="仿宋_GB2312" w:hAnsi="仿宋_GB2312" w:eastAsia="仿宋_GB2312"/>
                <w:sz w:val="24"/>
                <w:szCs w:val="24"/>
                <w:lang w:bidi="ar"/>
              </w:rPr>
              <w:t>B5.经费保障（10分）</w:t>
            </w:r>
          </w:p>
        </w:tc>
        <w:tc>
          <w:tcPr>
            <w:tcW w:w="2565" w:type="dxa"/>
            <w:noWrap w:val="0"/>
            <w:vAlign w:val="center"/>
          </w:tcPr>
          <w:p>
            <w:pPr>
              <w:widowControl/>
              <w:rPr>
                <w:rFonts w:hint="eastAsia" w:ascii="仿宋_GB2312" w:hAnsi="仿宋_GB2312" w:eastAsia="仿宋_GB2312"/>
                <w:color w:val="000000"/>
                <w:kern w:val="0"/>
                <w:sz w:val="24"/>
                <w:szCs w:val="24"/>
                <w:lang w:bidi="ar"/>
              </w:rPr>
            </w:pPr>
            <w:r>
              <w:rPr>
                <w:rFonts w:hint="eastAsia" w:ascii="仿宋_GB2312" w:hAnsi="仿宋_GB2312" w:eastAsia="仿宋_GB2312"/>
                <w:color w:val="000000"/>
                <w:kern w:val="0"/>
                <w:sz w:val="24"/>
                <w:szCs w:val="24"/>
                <w:lang w:bidi="ar"/>
              </w:rPr>
              <w:t>C6.设立专项经费重点支持实验区各项工作的开展。（10分）</w:t>
            </w:r>
          </w:p>
        </w:tc>
        <w:tc>
          <w:tcPr>
            <w:tcW w:w="10365" w:type="dxa"/>
            <w:noWrap w:val="0"/>
            <w:vAlign w:val="center"/>
          </w:tcPr>
          <w:p>
            <w:pPr>
              <w:widowControl/>
              <w:rPr>
                <w:rStyle w:val="11"/>
                <w:rFonts w:hint="eastAsia" w:ascii="仿宋_GB2312" w:hAnsi="仿宋_GB2312" w:eastAsia="仿宋_GB2312"/>
                <w:lang w:bidi="ar"/>
              </w:rPr>
            </w:pPr>
            <w:r>
              <w:rPr>
                <w:rStyle w:val="11"/>
                <w:rFonts w:hint="eastAsia" w:ascii="仿宋_GB2312" w:hAnsi="仿宋_GB2312" w:eastAsia="仿宋_GB2312"/>
                <w:lang w:bidi="ar"/>
              </w:rPr>
              <w:t>1.有支持游戏活动实验区建设的专项经费，经费拨付及时到位，专款专用。（5分）</w:t>
            </w:r>
            <w:r>
              <w:rPr>
                <w:rStyle w:val="11"/>
                <w:rFonts w:hint="eastAsia" w:ascii="仿宋_GB2312" w:hAnsi="仿宋_GB2312" w:eastAsia="仿宋_GB2312"/>
                <w:lang w:bidi="ar"/>
              </w:rPr>
              <w:br w:type="textWrapping"/>
            </w:r>
            <w:r>
              <w:rPr>
                <w:rStyle w:val="11"/>
                <w:rFonts w:hint="eastAsia" w:ascii="仿宋_GB2312" w:hAnsi="仿宋_GB2312" w:eastAsia="仿宋_GB2312"/>
                <w:lang w:bidi="ar"/>
              </w:rPr>
              <w:t>2.经费能够满足教师培训、玩具材料及图画书配备、游戏场地改造等多方面的需求。（5分）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0" w:hRule="atLeast"/>
          <w:jc w:val="center"/>
        </w:trPr>
        <w:tc>
          <w:tcPr>
            <w:tcW w:w="1269" w:type="dxa"/>
            <w:vMerge w:val="restart"/>
            <w:noWrap w:val="0"/>
            <w:vAlign w:val="center"/>
          </w:tcPr>
          <w:p>
            <w:pPr>
              <w:widowControl/>
              <w:jc w:val="center"/>
              <w:rPr>
                <w:rFonts w:hint="eastAsia" w:ascii="仿宋_GB2312" w:hAnsi="仿宋_GB2312" w:eastAsia="仿宋_GB2312"/>
                <w:color w:val="000000"/>
                <w:kern w:val="0"/>
                <w:sz w:val="24"/>
                <w:szCs w:val="24"/>
                <w:lang w:bidi="ar"/>
              </w:rPr>
            </w:pPr>
            <w:r>
              <w:rPr>
                <w:rFonts w:hint="eastAsia" w:ascii="仿宋_GB2312" w:hAnsi="仿宋_GB2312" w:eastAsia="仿宋_GB2312"/>
                <w:color w:val="000000"/>
                <w:kern w:val="0"/>
                <w:sz w:val="24"/>
                <w:szCs w:val="24"/>
                <w:lang w:bidi="ar"/>
              </w:rPr>
              <w:t>A3.队伍建设（20分）</w:t>
            </w:r>
          </w:p>
        </w:tc>
        <w:tc>
          <w:tcPr>
            <w:tcW w:w="1350" w:type="dxa"/>
            <w:noWrap w:val="0"/>
            <w:vAlign w:val="center"/>
          </w:tcPr>
          <w:p>
            <w:pPr>
              <w:widowControl/>
              <w:jc w:val="center"/>
              <w:rPr>
                <w:rFonts w:hint="eastAsia" w:ascii="仿宋_GB2312" w:hAnsi="仿宋_GB2312" w:eastAsia="仿宋_GB2312"/>
                <w:color w:val="000000"/>
                <w:kern w:val="0"/>
                <w:sz w:val="24"/>
                <w:szCs w:val="24"/>
                <w:lang w:bidi="ar"/>
              </w:rPr>
            </w:pPr>
            <w:r>
              <w:rPr>
                <w:rFonts w:hint="eastAsia" w:ascii="仿宋_GB2312" w:hAnsi="仿宋_GB2312" w:eastAsia="仿宋_GB2312"/>
                <w:color w:val="000000"/>
                <w:kern w:val="0"/>
                <w:sz w:val="24"/>
                <w:szCs w:val="24"/>
                <w:lang w:bidi="ar"/>
              </w:rPr>
              <w:t>B6.教师培训（10分）</w:t>
            </w:r>
          </w:p>
        </w:tc>
        <w:tc>
          <w:tcPr>
            <w:tcW w:w="2565" w:type="dxa"/>
            <w:noWrap w:val="0"/>
            <w:vAlign w:val="center"/>
          </w:tcPr>
          <w:p>
            <w:pPr>
              <w:widowControl/>
              <w:rPr>
                <w:rStyle w:val="10"/>
                <w:rFonts w:ascii="仿宋_GB2312" w:hAnsi="仿宋_GB2312" w:eastAsia="仿宋_GB2312"/>
                <w:sz w:val="24"/>
                <w:szCs w:val="24"/>
                <w:lang w:bidi="ar"/>
              </w:rPr>
            </w:pPr>
            <w:r>
              <w:rPr>
                <w:rStyle w:val="10"/>
                <w:rFonts w:ascii="仿宋_GB2312" w:hAnsi="仿宋_GB2312" w:eastAsia="仿宋_GB2312"/>
                <w:sz w:val="24"/>
                <w:szCs w:val="24"/>
                <w:lang w:bidi="ar"/>
              </w:rPr>
              <w:t>C7.</w:t>
            </w:r>
            <w:r>
              <w:rPr>
                <w:rStyle w:val="11"/>
                <w:rFonts w:hint="eastAsia" w:ascii="仿宋_GB2312" w:hAnsi="仿宋_GB2312" w:eastAsia="仿宋_GB2312"/>
                <w:lang w:bidi="ar"/>
              </w:rPr>
              <w:t>培养</w:t>
            </w:r>
            <w:r>
              <w:rPr>
                <w:rStyle w:val="10"/>
                <w:rFonts w:ascii="仿宋_GB2312" w:hAnsi="仿宋_GB2312" w:eastAsia="仿宋_GB2312"/>
                <w:sz w:val="24"/>
                <w:szCs w:val="24"/>
                <w:lang w:bidi="ar"/>
              </w:rPr>
              <w:t>培训机制健全，有效提升教师对游戏活动的支持能力。（10分）</w:t>
            </w:r>
          </w:p>
        </w:tc>
        <w:tc>
          <w:tcPr>
            <w:tcW w:w="10365" w:type="dxa"/>
            <w:noWrap w:val="0"/>
            <w:vAlign w:val="center"/>
          </w:tcPr>
          <w:p>
            <w:pPr>
              <w:widowControl/>
              <w:rPr>
                <w:rStyle w:val="11"/>
                <w:rFonts w:hint="eastAsia" w:ascii="仿宋_GB2312" w:hAnsi="仿宋_GB2312" w:eastAsia="仿宋_GB2312"/>
                <w:lang w:bidi="ar"/>
              </w:rPr>
            </w:pPr>
            <w:r>
              <w:rPr>
                <w:rStyle w:val="11"/>
                <w:rFonts w:hint="eastAsia" w:ascii="仿宋_GB2312" w:hAnsi="仿宋_GB2312" w:eastAsia="仿宋_GB2312"/>
                <w:lang w:bidi="ar"/>
              </w:rPr>
              <w:t>1.将幼儿游戏相关理论知识纳入教师继续教育和园长培训、新教师上岗培训等，针对农村地区、薄弱幼儿园的实际需要组织开展专项培训，提升园长、教师的专业素养，定期开展培训。（5分）</w:t>
            </w:r>
            <w:r>
              <w:rPr>
                <w:rStyle w:val="11"/>
                <w:rFonts w:hint="eastAsia" w:ascii="仿宋_GB2312" w:hAnsi="仿宋_GB2312" w:eastAsia="仿宋_GB2312"/>
                <w:lang w:bidi="ar"/>
              </w:rPr>
              <w:br w:type="textWrapping"/>
            </w:r>
            <w:r>
              <w:rPr>
                <w:rStyle w:val="11"/>
                <w:rFonts w:hint="eastAsia" w:ascii="仿宋_GB2312" w:hAnsi="仿宋_GB2312" w:eastAsia="仿宋_GB2312"/>
                <w:lang w:bidi="ar"/>
              </w:rPr>
              <w:t>2.培训内容针对性强，培训方式灵活多样，培训效果突出。（5分）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3" w:hRule="atLeast"/>
          <w:jc w:val="center"/>
        </w:trPr>
        <w:tc>
          <w:tcPr>
            <w:tcW w:w="1269" w:type="dxa"/>
            <w:vMerge w:val="continue"/>
            <w:noWrap w:val="0"/>
            <w:vAlign w:val="center"/>
          </w:tcPr>
          <w:p>
            <w:pPr>
              <w:jc w:val="center"/>
              <w:rPr>
                <w:rFonts w:hint="eastAsia" w:ascii="仿宋_GB2312" w:hAnsi="仿宋_GB2312" w:eastAsia="仿宋_GB2312"/>
                <w:color w:val="000000"/>
                <w:sz w:val="24"/>
                <w:szCs w:val="24"/>
              </w:rPr>
            </w:pPr>
          </w:p>
        </w:tc>
        <w:tc>
          <w:tcPr>
            <w:tcW w:w="1350" w:type="dxa"/>
            <w:vMerge w:val="restart"/>
            <w:noWrap w:val="0"/>
            <w:vAlign w:val="center"/>
          </w:tcPr>
          <w:p>
            <w:pPr>
              <w:widowControl/>
              <w:jc w:val="center"/>
              <w:rPr>
                <w:rFonts w:hint="eastAsia" w:ascii="仿宋_GB2312" w:hAnsi="仿宋_GB2312" w:eastAsia="仿宋_GB2312"/>
                <w:color w:val="000000"/>
                <w:kern w:val="0"/>
                <w:sz w:val="24"/>
                <w:szCs w:val="24"/>
                <w:lang w:bidi="ar"/>
              </w:rPr>
            </w:pPr>
            <w:r>
              <w:rPr>
                <w:rFonts w:hint="eastAsia" w:ascii="仿宋_GB2312" w:hAnsi="仿宋_GB2312" w:eastAsia="仿宋_GB2312"/>
                <w:color w:val="000000"/>
                <w:kern w:val="0"/>
                <w:sz w:val="24"/>
                <w:szCs w:val="24"/>
                <w:lang w:bidi="ar"/>
              </w:rPr>
              <w:t>B7.教研支持（10分）</w:t>
            </w:r>
          </w:p>
        </w:tc>
        <w:tc>
          <w:tcPr>
            <w:tcW w:w="2565" w:type="dxa"/>
            <w:noWrap w:val="0"/>
            <w:vAlign w:val="center"/>
          </w:tcPr>
          <w:p>
            <w:pPr>
              <w:widowControl/>
              <w:rPr>
                <w:rFonts w:hint="eastAsia" w:ascii="仿宋_GB2312" w:hAnsi="仿宋_GB2312" w:eastAsia="仿宋_GB2312"/>
                <w:color w:val="000000"/>
                <w:kern w:val="0"/>
                <w:sz w:val="24"/>
                <w:szCs w:val="24"/>
                <w:lang w:bidi="ar"/>
              </w:rPr>
            </w:pPr>
            <w:r>
              <w:rPr>
                <w:rFonts w:hint="eastAsia" w:ascii="仿宋_GB2312" w:hAnsi="仿宋_GB2312" w:eastAsia="仿宋_GB2312"/>
                <w:color w:val="000000"/>
                <w:kern w:val="0"/>
                <w:sz w:val="24"/>
                <w:szCs w:val="24"/>
                <w:lang w:bidi="ar"/>
              </w:rPr>
              <w:t>C8.深化区域教研改革，加强教研队伍建设，提高教研质量。（5分）</w:t>
            </w:r>
          </w:p>
        </w:tc>
        <w:tc>
          <w:tcPr>
            <w:tcW w:w="10365" w:type="dxa"/>
            <w:noWrap w:val="0"/>
            <w:vAlign w:val="center"/>
          </w:tcPr>
          <w:p>
            <w:pPr>
              <w:widowControl/>
              <w:rPr>
                <w:rStyle w:val="11"/>
                <w:rFonts w:hint="eastAsia" w:ascii="仿宋_GB2312" w:hAnsi="仿宋_GB2312" w:eastAsia="仿宋_GB2312"/>
                <w:lang w:bidi="ar"/>
              </w:rPr>
            </w:pPr>
            <w:r>
              <w:rPr>
                <w:rStyle w:val="11"/>
                <w:rFonts w:hint="eastAsia" w:ascii="仿宋_GB2312" w:hAnsi="仿宋_GB2312" w:eastAsia="仿宋_GB2312"/>
                <w:lang w:bidi="ar"/>
              </w:rPr>
              <w:t>1.建设专兼职结合的高素质专业化学前教育教研队伍，县（市、区）至少配备一名学前教育专职教研员。组建由高校专家、教研员、名园长、名师等组成的专业支持团队，加强协同教研。（3分）</w:t>
            </w:r>
            <w:r>
              <w:rPr>
                <w:rStyle w:val="11"/>
                <w:rFonts w:hint="eastAsia" w:ascii="仿宋_GB2312" w:hAnsi="仿宋_GB2312" w:eastAsia="仿宋_GB2312"/>
                <w:lang w:bidi="ar"/>
              </w:rPr>
              <w:br w:type="textWrapping"/>
            </w:r>
            <w:r>
              <w:rPr>
                <w:rStyle w:val="11"/>
                <w:rFonts w:hint="eastAsia" w:ascii="仿宋_GB2312" w:hAnsi="仿宋_GB2312" w:eastAsia="仿宋_GB2312"/>
                <w:lang w:bidi="ar"/>
              </w:rPr>
              <w:t>2.建立完善区域教研制度、教研指导责任区制度。教研员定期深入幼儿园一线，了解教师专业成长需求，及时研究解决幼儿园在落实以游戏基本活动中存在的困惑和问题。（2分）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5" w:hRule="atLeast"/>
          <w:jc w:val="center"/>
        </w:trPr>
        <w:tc>
          <w:tcPr>
            <w:tcW w:w="1269" w:type="dxa"/>
            <w:vMerge w:val="continue"/>
            <w:noWrap w:val="0"/>
            <w:vAlign w:val="center"/>
          </w:tcPr>
          <w:p>
            <w:pPr>
              <w:jc w:val="center"/>
              <w:rPr>
                <w:rFonts w:hint="eastAsia" w:ascii="仿宋_GB2312" w:hAnsi="仿宋_GB2312" w:eastAsia="仿宋_GB2312"/>
                <w:color w:val="000000"/>
                <w:szCs w:val="21"/>
              </w:rPr>
            </w:pPr>
          </w:p>
        </w:tc>
        <w:tc>
          <w:tcPr>
            <w:tcW w:w="1350" w:type="dxa"/>
            <w:vMerge w:val="continue"/>
            <w:noWrap w:val="0"/>
            <w:vAlign w:val="center"/>
          </w:tcPr>
          <w:p>
            <w:pPr>
              <w:jc w:val="center"/>
              <w:rPr>
                <w:rFonts w:hint="eastAsia" w:ascii="仿宋_GB2312" w:hAnsi="仿宋_GB2312" w:eastAsia="仿宋_GB2312"/>
                <w:color w:val="000000"/>
                <w:szCs w:val="21"/>
              </w:rPr>
            </w:pPr>
          </w:p>
        </w:tc>
        <w:tc>
          <w:tcPr>
            <w:tcW w:w="2565" w:type="dxa"/>
            <w:noWrap w:val="0"/>
            <w:vAlign w:val="center"/>
          </w:tcPr>
          <w:p>
            <w:pPr>
              <w:widowControl/>
              <w:rPr>
                <w:rFonts w:hint="eastAsia" w:ascii="仿宋_GB2312" w:hAnsi="仿宋_GB2312" w:eastAsia="仿宋_GB2312"/>
                <w:color w:val="000000"/>
                <w:kern w:val="0"/>
                <w:sz w:val="24"/>
                <w:szCs w:val="24"/>
                <w:lang w:bidi="ar"/>
              </w:rPr>
            </w:pPr>
            <w:r>
              <w:rPr>
                <w:rFonts w:hint="eastAsia" w:ascii="仿宋_GB2312" w:hAnsi="仿宋_GB2312" w:eastAsia="仿宋_GB2312"/>
                <w:color w:val="000000"/>
                <w:kern w:val="0"/>
                <w:sz w:val="24"/>
                <w:szCs w:val="24"/>
                <w:lang w:bidi="ar"/>
              </w:rPr>
              <w:t>C9.强化园本教研，健全园本教研制度，创新教研方式，提升教研实效。（5分）</w:t>
            </w:r>
          </w:p>
        </w:tc>
        <w:tc>
          <w:tcPr>
            <w:tcW w:w="10365" w:type="dxa"/>
            <w:noWrap w:val="0"/>
            <w:vAlign w:val="center"/>
          </w:tcPr>
          <w:p>
            <w:pPr>
              <w:widowControl/>
              <w:rPr>
                <w:rStyle w:val="11"/>
                <w:rFonts w:hint="eastAsia" w:ascii="仿宋_GB2312" w:hAnsi="仿宋_GB2312" w:eastAsia="仿宋_GB2312"/>
                <w:lang w:bidi="ar"/>
              </w:rPr>
            </w:pPr>
            <w:r>
              <w:rPr>
                <w:rStyle w:val="11"/>
                <w:rFonts w:hint="eastAsia" w:ascii="仿宋_GB2312" w:hAnsi="仿宋_GB2312" w:eastAsia="仿宋_GB2312"/>
                <w:lang w:bidi="ar"/>
              </w:rPr>
              <w:t>1.支持有力，指导幼儿园坚持问题导向，以提高教师专业能力为重点，健全园本教研制度，创新教研方式，开展经常性教研活动。（3分）</w:t>
            </w:r>
            <w:r>
              <w:rPr>
                <w:rStyle w:val="11"/>
                <w:rFonts w:hint="eastAsia" w:ascii="仿宋_GB2312" w:hAnsi="仿宋_GB2312" w:eastAsia="仿宋_GB2312"/>
                <w:lang w:bidi="ar"/>
              </w:rPr>
              <w:br w:type="textWrapping"/>
            </w:r>
            <w:r>
              <w:rPr>
                <w:rStyle w:val="11"/>
                <w:rFonts w:hint="eastAsia" w:ascii="仿宋_GB2312" w:hAnsi="仿宋_GB2312" w:eastAsia="仿宋_GB2312"/>
                <w:lang w:bidi="ar"/>
              </w:rPr>
              <w:t>2.幼儿园能够充分发挥教研组的作用，加强在幼儿学习与发展、落实以游戏为基本活动、家庭教育指导等方面的研究，提高教研活动的针对性和有效性。（2分）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9" w:hRule="atLeast"/>
          <w:jc w:val="center"/>
        </w:trPr>
        <w:tc>
          <w:tcPr>
            <w:tcW w:w="1269" w:type="dxa"/>
            <w:vMerge w:val="restart"/>
            <w:noWrap w:val="0"/>
            <w:vAlign w:val="center"/>
          </w:tcPr>
          <w:p>
            <w:pPr>
              <w:widowControl/>
              <w:jc w:val="center"/>
              <w:rPr>
                <w:rStyle w:val="10"/>
                <w:rFonts w:ascii="仿宋_GB2312" w:hAnsi="仿宋_GB2312" w:eastAsia="仿宋_GB2312"/>
                <w:sz w:val="24"/>
                <w:szCs w:val="24"/>
                <w:lang w:bidi="ar"/>
              </w:rPr>
            </w:pPr>
            <w:r>
              <w:rPr>
                <w:rStyle w:val="10"/>
                <w:rFonts w:ascii="仿宋_GB2312" w:hAnsi="仿宋_GB2312" w:eastAsia="仿宋_GB2312"/>
                <w:sz w:val="24"/>
                <w:szCs w:val="24"/>
                <w:lang w:bidi="ar"/>
              </w:rPr>
              <w:t>A4.游戏活动质量</w:t>
            </w:r>
            <w:r>
              <w:rPr>
                <w:rStyle w:val="11"/>
                <w:rFonts w:hint="eastAsia" w:ascii="仿宋_GB2312" w:hAnsi="仿宋_GB2312" w:eastAsia="仿宋_GB2312"/>
                <w:lang w:bidi="ar"/>
              </w:rPr>
              <w:t>（35分）</w:t>
            </w:r>
          </w:p>
        </w:tc>
        <w:tc>
          <w:tcPr>
            <w:tcW w:w="1350" w:type="dxa"/>
            <w:vMerge w:val="restart"/>
            <w:noWrap w:val="0"/>
            <w:vAlign w:val="center"/>
          </w:tcPr>
          <w:p>
            <w:pPr>
              <w:widowControl/>
              <w:jc w:val="center"/>
              <w:rPr>
                <w:rStyle w:val="10"/>
                <w:rFonts w:ascii="仿宋_GB2312" w:hAnsi="仿宋_GB2312" w:eastAsia="仿宋_GB2312"/>
                <w:sz w:val="24"/>
                <w:szCs w:val="24"/>
                <w:lang w:bidi="ar"/>
              </w:rPr>
            </w:pPr>
            <w:r>
              <w:rPr>
                <w:rStyle w:val="10"/>
                <w:rFonts w:ascii="仿宋_GB2312" w:hAnsi="仿宋_GB2312" w:eastAsia="仿宋_GB2312"/>
                <w:sz w:val="24"/>
                <w:szCs w:val="24"/>
                <w:lang w:bidi="ar"/>
              </w:rPr>
              <w:t>B8.游戏环境</w:t>
            </w:r>
            <w:r>
              <w:rPr>
                <w:rStyle w:val="11"/>
                <w:rFonts w:hint="eastAsia" w:ascii="仿宋_GB2312" w:hAnsi="仿宋_GB2312" w:eastAsia="仿宋_GB2312"/>
                <w:lang w:bidi="ar"/>
              </w:rPr>
              <w:t>（15分）</w:t>
            </w:r>
          </w:p>
        </w:tc>
        <w:tc>
          <w:tcPr>
            <w:tcW w:w="2565" w:type="dxa"/>
            <w:noWrap w:val="0"/>
            <w:vAlign w:val="center"/>
          </w:tcPr>
          <w:p>
            <w:pPr>
              <w:widowControl/>
              <w:rPr>
                <w:rStyle w:val="10"/>
                <w:rFonts w:ascii="仿宋_GB2312" w:hAnsi="仿宋_GB2312" w:eastAsia="仿宋_GB2312"/>
                <w:sz w:val="24"/>
                <w:szCs w:val="24"/>
                <w:lang w:bidi="ar"/>
              </w:rPr>
            </w:pPr>
            <w:r>
              <w:rPr>
                <w:rStyle w:val="10"/>
                <w:rFonts w:ascii="仿宋_GB2312" w:hAnsi="仿宋_GB2312" w:eastAsia="仿宋_GB2312"/>
                <w:sz w:val="24"/>
                <w:szCs w:val="24"/>
                <w:lang w:bidi="ar"/>
              </w:rPr>
              <w:t>C10.幼儿园空间布局合理，设施设备安全环保，满足幼儿生活和游戏需要。</w:t>
            </w:r>
            <w:r>
              <w:rPr>
                <w:rStyle w:val="11"/>
                <w:rFonts w:hint="eastAsia" w:ascii="仿宋_GB2312" w:hAnsi="仿宋_GB2312" w:eastAsia="仿宋_GB2312"/>
                <w:lang w:bidi="ar"/>
              </w:rPr>
              <w:t>（6分）</w:t>
            </w:r>
          </w:p>
        </w:tc>
        <w:tc>
          <w:tcPr>
            <w:tcW w:w="10365" w:type="dxa"/>
            <w:noWrap w:val="0"/>
            <w:vAlign w:val="center"/>
          </w:tcPr>
          <w:p>
            <w:pPr>
              <w:widowControl/>
              <w:rPr>
                <w:rStyle w:val="11"/>
                <w:rFonts w:hint="eastAsia" w:ascii="仿宋_GB2312" w:hAnsi="仿宋_GB2312" w:eastAsia="仿宋_GB2312"/>
                <w:lang w:bidi="ar"/>
              </w:rPr>
            </w:pPr>
            <w:r>
              <w:rPr>
                <w:rStyle w:val="11"/>
                <w:rFonts w:hint="eastAsia" w:ascii="仿宋_GB2312" w:hAnsi="仿宋_GB2312" w:eastAsia="仿宋_GB2312"/>
                <w:lang w:bidi="ar"/>
              </w:rPr>
              <w:t>1.室内外空间布局规划科学合理，游戏环境生态、多元、开放、丰富、富有挑战性，能够最大限度地满足幼儿生活和游戏需要。（3分）</w:t>
            </w:r>
            <w:r>
              <w:rPr>
                <w:rStyle w:val="11"/>
                <w:rFonts w:hint="eastAsia" w:ascii="仿宋_GB2312" w:hAnsi="仿宋_GB2312" w:eastAsia="仿宋_GB2312"/>
                <w:lang w:bidi="ar"/>
              </w:rPr>
              <w:br w:type="textWrapping"/>
            </w:r>
            <w:r>
              <w:rPr>
                <w:rStyle w:val="11"/>
                <w:rFonts w:hint="eastAsia" w:ascii="仿宋_GB2312" w:hAnsi="仿宋_GB2312" w:eastAsia="仿宋_GB2312"/>
                <w:lang w:bidi="ar"/>
              </w:rPr>
              <w:t>2.各类设施设备安全、环保，符合幼儿的年龄特点，方便幼儿使用和取放，满足幼儿逐步增长的独立活动需要。提供必要的遮阳遮雨设施设备，确保特殊天气条件下幼儿必要的户外活动能正常开展。（3分）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01" w:hRule="atLeast"/>
          <w:jc w:val="center"/>
        </w:trPr>
        <w:tc>
          <w:tcPr>
            <w:tcW w:w="1269" w:type="dxa"/>
            <w:vMerge w:val="continue"/>
            <w:noWrap w:val="0"/>
            <w:vAlign w:val="center"/>
          </w:tcPr>
          <w:p>
            <w:pPr>
              <w:jc w:val="center"/>
              <w:rPr>
                <w:rFonts w:hint="eastAsia" w:ascii="仿宋_GB2312" w:hAnsi="仿宋_GB2312" w:eastAsia="仿宋_GB2312"/>
                <w:color w:val="000000"/>
                <w:sz w:val="24"/>
                <w:szCs w:val="24"/>
              </w:rPr>
            </w:pPr>
          </w:p>
        </w:tc>
        <w:tc>
          <w:tcPr>
            <w:tcW w:w="1350" w:type="dxa"/>
            <w:vMerge w:val="continue"/>
            <w:noWrap w:val="0"/>
            <w:vAlign w:val="center"/>
          </w:tcPr>
          <w:p>
            <w:pPr>
              <w:jc w:val="center"/>
              <w:rPr>
                <w:rFonts w:hint="eastAsia" w:ascii="仿宋_GB2312" w:hAnsi="仿宋_GB2312" w:eastAsia="仿宋_GB2312"/>
                <w:color w:val="000000"/>
                <w:sz w:val="24"/>
                <w:szCs w:val="24"/>
              </w:rPr>
            </w:pPr>
          </w:p>
        </w:tc>
        <w:tc>
          <w:tcPr>
            <w:tcW w:w="2565" w:type="dxa"/>
            <w:noWrap w:val="0"/>
            <w:vAlign w:val="center"/>
          </w:tcPr>
          <w:p>
            <w:pPr>
              <w:widowControl/>
              <w:rPr>
                <w:rStyle w:val="10"/>
                <w:rFonts w:ascii="仿宋_GB2312" w:hAnsi="仿宋_GB2312" w:eastAsia="仿宋_GB2312"/>
                <w:sz w:val="24"/>
                <w:szCs w:val="24"/>
                <w:lang w:bidi="ar"/>
              </w:rPr>
            </w:pPr>
            <w:r>
              <w:rPr>
                <w:rStyle w:val="10"/>
                <w:rFonts w:ascii="仿宋_GB2312" w:hAnsi="仿宋_GB2312" w:eastAsia="仿宋_GB2312"/>
                <w:sz w:val="24"/>
                <w:szCs w:val="24"/>
                <w:lang w:bidi="ar"/>
              </w:rPr>
              <w:t>C11.</w:t>
            </w:r>
            <w:r>
              <w:rPr>
                <w:rStyle w:val="10"/>
                <w:rFonts w:ascii="仿宋_GB2312" w:eastAsia="仿宋_GB2312"/>
                <w:sz w:val="24"/>
                <w:szCs w:val="24"/>
              </w:rPr>
              <w:t>玩具材料和图画书</w:t>
            </w:r>
            <w:r>
              <w:rPr>
                <w:rStyle w:val="10"/>
                <w:rFonts w:ascii="仿宋_GB2312" w:hAnsi="仿宋_GB2312" w:eastAsia="仿宋_GB2312"/>
                <w:sz w:val="24"/>
                <w:szCs w:val="24"/>
                <w:lang w:bidi="ar"/>
              </w:rPr>
              <w:t>数量充足、种类丰富，有效支持游戏活动开展。</w:t>
            </w:r>
            <w:r>
              <w:rPr>
                <w:rStyle w:val="10"/>
                <w:rFonts w:hint="default" w:ascii="仿宋_GB2312" w:hAnsi="仿宋_GB2312" w:eastAsia="仿宋_GB2312"/>
                <w:sz w:val="24"/>
                <w:szCs w:val="24"/>
                <w:lang w:bidi="ar"/>
              </w:rPr>
              <w:t>（5分）</w:t>
            </w:r>
          </w:p>
        </w:tc>
        <w:tc>
          <w:tcPr>
            <w:tcW w:w="10365" w:type="dxa"/>
            <w:noWrap w:val="0"/>
            <w:vAlign w:val="center"/>
          </w:tcPr>
          <w:p>
            <w:pPr>
              <w:widowControl/>
              <w:rPr>
                <w:rStyle w:val="11"/>
                <w:rFonts w:hint="eastAsia" w:ascii="仿宋_GB2312" w:hAnsi="仿宋_GB2312" w:eastAsia="仿宋_GB2312"/>
                <w:lang w:bidi="ar"/>
              </w:rPr>
            </w:pPr>
            <w:r>
              <w:rPr>
                <w:rStyle w:val="11"/>
                <w:rFonts w:hint="eastAsia" w:ascii="仿宋_GB2312" w:hAnsi="仿宋_GB2312" w:eastAsia="仿宋_GB2312"/>
                <w:lang w:bidi="ar"/>
              </w:rPr>
              <w:t>1.玩具材料数量充足、种类丰富，以低结构材料为主，能够保证多名幼儿同时游戏的需要。（3分）</w:t>
            </w:r>
            <w:r>
              <w:rPr>
                <w:rStyle w:val="11"/>
                <w:rFonts w:hint="eastAsia" w:ascii="仿宋_GB2312" w:hAnsi="仿宋_GB2312" w:eastAsia="仿宋_GB2312"/>
                <w:lang w:bidi="ar"/>
              </w:rPr>
              <w:br w:type="textWrapping"/>
            </w:r>
            <w:r>
              <w:rPr>
                <w:rStyle w:val="11"/>
                <w:rFonts w:hint="eastAsia" w:ascii="仿宋_GB2312" w:hAnsi="仿宋_GB2312" w:eastAsia="仿宋_GB2312"/>
                <w:lang w:bidi="ar"/>
              </w:rPr>
              <w:t>2.幼儿园配备的图画书符合幼儿年龄特点和认知水平，注重体现中华优秀传统文化和现代生活特色，富有教育意义，并根据需要及时调整更新。（2分）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3" w:hRule="atLeast"/>
          <w:jc w:val="center"/>
        </w:trPr>
        <w:tc>
          <w:tcPr>
            <w:tcW w:w="1269" w:type="dxa"/>
            <w:vMerge w:val="continue"/>
            <w:noWrap w:val="0"/>
            <w:vAlign w:val="center"/>
          </w:tcPr>
          <w:p>
            <w:pPr>
              <w:jc w:val="center"/>
              <w:rPr>
                <w:rFonts w:hint="eastAsia" w:ascii="仿宋_GB2312" w:hAnsi="仿宋_GB2312" w:eastAsia="仿宋_GB2312"/>
                <w:color w:val="000000"/>
                <w:sz w:val="24"/>
                <w:szCs w:val="24"/>
              </w:rPr>
            </w:pPr>
          </w:p>
        </w:tc>
        <w:tc>
          <w:tcPr>
            <w:tcW w:w="1350" w:type="dxa"/>
            <w:vMerge w:val="continue"/>
            <w:noWrap w:val="0"/>
            <w:vAlign w:val="center"/>
          </w:tcPr>
          <w:p>
            <w:pPr>
              <w:jc w:val="center"/>
              <w:rPr>
                <w:rFonts w:hint="eastAsia" w:ascii="仿宋_GB2312" w:hAnsi="仿宋_GB2312" w:eastAsia="仿宋_GB2312"/>
                <w:color w:val="000000"/>
                <w:sz w:val="24"/>
                <w:szCs w:val="24"/>
              </w:rPr>
            </w:pPr>
          </w:p>
        </w:tc>
        <w:tc>
          <w:tcPr>
            <w:tcW w:w="2565" w:type="dxa"/>
            <w:noWrap w:val="0"/>
            <w:vAlign w:val="center"/>
          </w:tcPr>
          <w:p>
            <w:pPr>
              <w:widowControl/>
              <w:rPr>
                <w:rStyle w:val="10"/>
                <w:rFonts w:hint="default" w:ascii="仿宋_GB2312" w:eastAsia="仿宋_GB2312"/>
                <w:sz w:val="24"/>
                <w:szCs w:val="24"/>
              </w:rPr>
            </w:pPr>
            <w:r>
              <w:rPr>
                <w:rStyle w:val="10"/>
                <w:rFonts w:hint="default" w:ascii="仿宋_GB2312" w:eastAsia="仿宋_GB2312"/>
                <w:sz w:val="24"/>
                <w:szCs w:val="24"/>
              </w:rPr>
              <w:t>C12.心</w:t>
            </w:r>
            <w:r>
              <w:rPr>
                <w:rStyle w:val="10"/>
                <w:rFonts w:ascii="仿宋_GB2312" w:eastAsia="仿宋_GB2312"/>
                <w:sz w:val="24"/>
                <w:lang w:bidi="ar"/>
              </w:rPr>
              <w:t>理环境安全温馨，</w:t>
            </w:r>
            <w:r>
              <w:rPr>
                <w:rStyle w:val="10"/>
                <w:rFonts w:hint="default" w:ascii="仿宋_GB2312" w:hAnsi="仿宋_GB2312" w:eastAsia="仿宋_GB2312" w:cs="仿宋_GB2312"/>
                <w:sz w:val="24"/>
                <w:szCs w:val="24"/>
                <w:lang w:bidi="ar"/>
              </w:rPr>
              <w:t>班级氛围宽松和谐，师幼、幼幼间能充分开展互动交流。</w:t>
            </w:r>
            <w:r>
              <w:rPr>
                <w:rStyle w:val="10"/>
                <w:rFonts w:ascii="仿宋_GB2312" w:eastAsia="仿宋_GB2312"/>
                <w:sz w:val="24"/>
                <w:lang w:bidi="ar"/>
              </w:rPr>
              <w:t>（4分）</w:t>
            </w:r>
          </w:p>
        </w:tc>
        <w:tc>
          <w:tcPr>
            <w:tcW w:w="10365" w:type="dxa"/>
            <w:noWrap w:val="0"/>
            <w:vAlign w:val="center"/>
          </w:tcPr>
          <w:p>
            <w:pPr>
              <w:widowControl/>
              <w:rPr>
                <w:rStyle w:val="10"/>
                <w:rFonts w:hint="default" w:ascii="仿宋_GB2312" w:eastAsia="仿宋_GB2312"/>
                <w:sz w:val="24"/>
                <w:szCs w:val="24"/>
              </w:rPr>
            </w:pPr>
            <w:r>
              <w:rPr>
                <w:rStyle w:val="10"/>
                <w:rFonts w:hint="default" w:ascii="仿宋_GB2312" w:eastAsia="仿宋_GB2312"/>
                <w:sz w:val="24"/>
                <w:szCs w:val="24"/>
              </w:rPr>
              <w:t>1.教师能够创设宽松和谐的班级氛围，保持积极乐观愉快的情绪状态，以亲切和蔼、支持性的态度和行为与幼儿互动，平等对待每一名幼儿。（2分）</w:t>
            </w:r>
            <w:r>
              <w:rPr>
                <w:rStyle w:val="10"/>
                <w:rFonts w:hint="default" w:ascii="仿宋_GB2312" w:eastAsia="仿宋_GB2312"/>
                <w:sz w:val="24"/>
                <w:szCs w:val="24"/>
              </w:rPr>
              <w:br w:type="textWrapping"/>
            </w:r>
            <w:r>
              <w:rPr>
                <w:rStyle w:val="10"/>
                <w:rFonts w:hint="default" w:ascii="仿宋_GB2312" w:eastAsia="仿宋_GB2312"/>
                <w:sz w:val="24"/>
                <w:szCs w:val="24"/>
              </w:rPr>
              <w:t>2.幼儿在一日活动中情绪愉悦、从容自信，能与同伴友好相处，能放心大胆地表达真实情绪和不同观点，能按照自己的兴趣、节奏和方式进行游戏（2分）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6" w:hRule="atLeast"/>
          <w:jc w:val="center"/>
        </w:trPr>
        <w:tc>
          <w:tcPr>
            <w:tcW w:w="1269" w:type="dxa"/>
            <w:vMerge w:val="restart"/>
            <w:noWrap w:val="0"/>
            <w:vAlign w:val="center"/>
          </w:tcPr>
          <w:p>
            <w:pPr>
              <w:jc w:val="center"/>
              <w:rPr>
                <w:rFonts w:hint="eastAsia" w:ascii="仿宋_GB2312" w:hAnsi="仿宋_GB2312" w:eastAsia="仿宋_GB2312"/>
                <w:color w:val="000000"/>
                <w:szCs w:val="21"/>
              </w:rPr>
            </w:pPr>
            <w:r>
              <w:rPr>
                <w:rStyle w:val="10"/>
                <w:rFonts w:ascii="仿宋_GB2312" w:hAnsi="仿宋_GB2312" w:eastAsia="仿宋_GB2312"/>
                <w:sz w:val="24"/>
                <w:szCs w:val="24"/>
                <w:lang w:bidi="ar"/>
              </w:rPr>
              <w:t>A4.游戏活动质量</w:t>
            </w:r>
            <w:r>
              <w:rPr>
                <w:rStyle w:val="11"/>
                <w:rFonts w:hint="eastAsia" w:ascii="仿宋_GB2312" w:hAnsi="仿宋_GB2312" w:eastAsia="仿宋_GB2312"/>
                <w:lang w:bidi="ar"/>
              </w:rPr>
              <w:t>（35分）</w:t>
            </w:r>
          </w:p>
        </w:tc>
        <w:tc>
          <w:tcPr>
            <w:tcW w:w="1350" w:type="dxa"/>
            <w:vMerge w:val="restart"/>
            <w:noWrap w:val="0"/>
            <w:vAlign w:val="center"/>
          </w:tcPr>
          <w:p>
            <w:pPr>
              <w:widowControl/>
              <w:jc w:val="left"/>
              <w:rPr>
                <w:rStyle w:val="10"/>
                <w:rFonts w:ascii="仿宋_GB2312" w:hAnsi="仿宋_GB2312" w:eastAsia="仿宋_GB2312"/>
                <w:sz w:val="24"/>
                <w:szCs w:val="24"/>
                <w:lang w:bidi="ar"/>
              </w:rPr>
            </w:pPr>
            <w:r>
              <w:rPr>
                <w:rStyle w:val="10"/>
                <w:rFonts w:ascii="仿宋_GB2312" w:hAnsi="仿宋_GB2312" w:eastAsia="仿宋_GB2312"/>
                <w:sz w:val="24"/>
                <w:szCs w:val="24"/>
                <w:lang w:bidi="ar"/>
              </w:rPr>
              <w:t>B9.活动组织</w:t>
            </w:r>
            <w:r>
              <w:rPr>
                <w:rStyle w:val="10"/>
                <w:rFonts w:hint="default" w:ascii="仿宋_GB2312" w:hAnsi="仿宋_GB2312" w:eastAsia="仿宋_GB2312"/>
                <w:sz w:val="24"/>
                <w:szCs w:val="24"/>
                <w:lang w:bidi="ar"/>
              </w:rPr>
              <w:t>（14分）</w:t>
            </w:r>
          </w:p>
        </w:tc>
        <w:tc>
          <w:tcPr>
            <w:tcW w:w="2565" w:type="dxa"/>
            <w:noWrap w:val="0"/>
            <w:vAlign w:val="center"/>
          </w:tcPr>
          <w:p>
            <w:pPr>
              <w:widowControl/>
              <w:rPr>
                <w:rStyle w:val="10"/>
                <w:rFonts w:hint="default" w:ascii="仿宋_GB2312" w:eastAsia="仿宋_GB2312"/>
                <w:sz w:val="24"/>
                <w:szCs w:val="24"/>
              </w:rPr>
            </w:pPr>
            <w:r>
              <w:rPr>
                <w:rStyle w:val="10"/>
                <w:rFonts w:hint="default" w:ascii="仿宋_GB2312" w:eastAsia="仿宋_GB2312"/>
                <w:sz w:val="24"/>
                <w:szCs w:val="24"/>
              </w:rPr>
              <w:t>C13.幼儿园保教计划科学合理、切实可行。（4分）</w:t>
            </w:r>
          </w:p>
        </w:tc>
        <w:tc>
          <w:tcPr>
            <w:tcW w:w="10365" w:type="dxa"/>
            <w:noWrap w:val="0"/>
            <w:vAlign w:val="center"/>
          </w:tcPr>
          <w:p>
            <w:pPr>
              <w:widowControl/>
              <w:rPr>
                <w:rStyle w:val="10"/>
                <w:rFonts w:hint="default"/>
                <w:sz w:val="24"/>
                <w:szCs w:val="24"/>
              </w:rPr>
            </w:pPr>
            <w:r>
              <w:rPr>
                <w:rStyle w:val="10"/>
                <w:rFonts w:hint="default" w:ascii="仿宋_GB2312" w:hAnsi="仿宋_GB2312" w:eastAsia="仿宋_GB2312" w:cs="仿宋_GB2312"/>
                <w:sz w:val="24"/>
                <w:szCs w:val="24"/>
              </w:rPr>
              <w:t>1.结合本园、班实际，每学期、每周制定科学合理的班级保教计划，符合《幼儿园教育指导纲要》《3—6岁儿童学习与发展指南》要求，计划之间体现内在关联性，操作性强。（2分）</w:t>
            </w:r>
            <w:r>
              <w:rPr>
                <w:rStyle w:val="10"/>
                <w:rFonts w:hint="default" w:ascii="仿宋_GB2312" w:hAnsi="仿宋_GB2312" w:eastAsia="仿宋_GB2312" w:cs="仿宋_GB2312"/>
                <w:sz w:val="24"/>
                <w:szCs w:val="24"/>
              </w:rPr>
              <w:br w:type="textWrapping"/>
            </w:r>
            <w:r>
              <w:rPr>
                <w:rStyle w:val="10"/>
                <w:rFonts w:hint="default" w:ascii="仿宋_GB2312" w:hAnsi="仿宋_GB2312" w:eastAsia="仿宋_GB2312" w:cs="仿宋_GB2312"/>
                <w:sz w:val="24"/>
                <w:szCs w:val="24"/>
              </w:rPr>
              <w:t>2.计划实施过程中能根据班级和幼儿实际等进行调整与完善。（2分）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8" w:hRule="atLeast"/>
          <w:jc w:val="center"/>
        </w:trPr>
        <w:tc>
          <w:tcPr>
            <w:tcW w:w="1269" w:type="dxa"/>
            <w:vMerge w:val="continue"/>
            <w:noWrap w:val="0"/>
            <w:vAlign w:val="center"/>
          </w:tcPr>
          <w:p>
            <w:pPr>
              <w:jc w:val="center"/>
              <w:rPr>
                <w:rFonts w:hint="eastAsia" w:ascii="仿宋_GB2312" w:hAnsi="仿宋_GB2312" w:eastAsia="仿宋_GB2312"/>
                <w:color w:val="000000"/>
                <w:szCs w:val="21"/>
              </w:rPr>
            </w:pPr>
          </w:p>
        </w:tc>
        <w:tc>
          <w:tcPr>
            <w:tcW w:w="1350" w:type="dxa"/>
            <w:vMerge w:val="continue"/>
            <w:noWrap w:val="0"/>
            <w:vAlign w:val="center"/>
          </w:tcPr>
          <w:p>
            <w:pPr>
              <w:widowControl/>
              <w:jc w:val="left"/>
              <w:rPr>
                <w:rStyle w:val="10"/>
                <w:rFonts w:hint="default"/>
                <w:sz w:val="24"/>
                <w:szCs w:val="24"/>
                <w:lang w:bidi="ar"/>
              </w:rPr>
            </w:pPr>
          </w:p>
        </w:tc>
        <w:tc>
          <w:tcPr>
            <w:tcW w:w="2565" w:type="dxa"/>
            <w:noWrap w:val="0"/>
            <w:vAlign w:val="center"/>
          </w:tcPr>
          <w:p>
            <w:pPr>
              <w:widowControl/>
              <w:rPr>
                <w:rStyle w:val="10"/>
                <w:rFonts w:hint="default"/>
                <w:sz w:val="24"/>
                <w:szCs w:val="24"/>
              </w:rPr>
            </w:pPr>
            <w:r>
              <w:rPr>
                <w:rStyle w:val="10"/>
                <w:rFonts w:hint="default" w:ascii="仿宋_GB2312" w:hAnsi="仿宋_GB2312" w:eastAsia="仿宋_GB2312" w:cs="仿宋_GB2312"/>
                <w:sz w:val="24"/>
                <w:szCs w:val="24"/>
              </w:rPr>
              <w:t>C14.一日活动安排相对稳定合理，游戏时间充足。（4分）</w:t>
            </w:r>
          </w:p>
        </w:tc>
        <w:tc>
          <w:tcPr>
            <w:tcW w:w="10365" w:type="dxa"/>
            <w:noWrap w:val="0"/>
            <w:vAlign w:val="center"/>
          </w:tcPr>
          <w:p>
            <w:pPr>
              <w:widowControl/>
              <w:rPr>
                <w:rStyle w:val="10"/>
                <w:rFonts w:hint="default"/>
                <w:sz w:val="24"/>
                <w:szCs w:val="24"/>
              </w:rPr>
            </w:pPr>
            <w:r>
              <w:rPr>
                <w:rStyle w:val="10"/>
                <w:rFonts w:hint="default" w:ascii="仿宋_GB2312" w:hAnsi="仿宋_GB2312" w:eastAsia="仿宋_GB2312" w:cs="仿宋_GB2312"/>
                <w:sz w:val="24"/>
                <w:szCs w:val="24"/>
              </w:rPr>
              <w:t>1.一日活动安排有相对的稳定性，能满足幼儿各类活动的需要，避免时间安排碎片化和各环节频繁转换，避免幼儿消极等待。（2分）</w:t>
            </w:r>
            <w:r>
              <w:rPr>
                <w:rStyle w:val="10"/>
                <w:rFonts w:hint="default" w:ascii="仿宋_GB2312" w:hAnsi="仿宋_GB2312" w:eastAsia="仿宋_GB2312" w:cs="仿宋_GB2312"/>
                <w:sz w:val="24"/>
                <w:szCs w:val="24"/>
              </w:rPr>
              <w:br w:type="textWrapping"/>
            </w:r>
            <w:r>
              <w:rPr>
                <w:rStyle w:val="10"/>
                <w:rFonts w:hint="default" w:ascii="仿宋_GB2312" w:hAnsi="仿宋_GB2312" w:eastAsia="仿宋_GB2312" w:cs="仿宋_GB2312"/>
                <w:sz w:val="24"/>
                <w:szCs w:val="24"/>
              </w:rPr>
              <w:t>2.游戏活动时间充足，确保每天至少有1个小时的自主游戏时间，其中至少有1次机会可以连续进行45分钟以上的自主游戏。（2分）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1" w:hRule="atLeast"/>
          <w:jc w:val="center"/>
        </w:trPr>
        <w:tc>
          <w:tcPr>
            <w:tcW w:w="1269" w:type="dxa"/>
            <w:vMerge w:val="continue"/>
            <w:noWrap w:val="0"/>
            <w:vAlign w:val="center"/>
          </w:tcPr>
          <w:p>
            <w:pPr>
              <w:jc w:val="center"/>
              <w:rPr>
                <w:rFonts w:hint="eastAsia" w:ascii="仿宋_GB2312" w:hAnsi="仿宋_GB2312" w:eastAsia="仿宋_GB2312"/>
                <w:color w:val="000000"/>
                <w:szCs w:val="21"/>
              </w:rPr>
            </w:pPr>
          </w:p>
        </w:tc>
        <w:tc>
          <w:tcPr>
            <w:tcW w:w="1350" w:type="dxa"/>
            <w:vMerge w:val="continue"/>
            <w:noWrap w:val="0"/>
            <w:vAlign w:val="center"/>
          </w:tcPr>
          <w:p>
            <w:pPr>
              <w:jc w:val="center"/>
              <w:rPr>
                <w:rFonts w:hint="eastAsia" w:ascii="仿宋_GB2312" w:hAnsi="仿宋_GB2312" w:eastAsia="仿宋_GB2312"/>
                <w:color w:val="000000"/>
                <w:szCs w:val="21"/>
              </w:rPr>
            </w:pPr>
          </w:p>
        </w:tc>
        <w:tc>
          <w:tcPr>
            <w:tcW w:w="2565" w:type="dxa"/>
            <w:noWrap w:val="0"/>
            <w:vAlign w:val="center"/>
          </w:tcPr>
          <w:p>
            <w:pPr>
              <w:widowControl/>
              <w:rPr>
                <w:rStyle w:val="10"/>
                <w:rFonts w:hint="default" w:ascii="仿宋_GB2312" w:eastAsia="仿宋_GB2312"/>
                <w:sz w:val="24"/>
                <w:szCs w:val="24"/>
                <w:lang w:bidi="ar"/>
              </w:rPr>
            </w:pPr>
            <w:r>
              <w:rPr>
                <w:rStyle w:val="10"/>
                <w:rFonts w:ascii="仿宋_GB2312" w:hAnsi="仿宋_GB2312" w:eastAsia="仿宋_GB2312" w:cs="仿宋_GB2312"/>
                <w:sz w:val="24"/>
                <w:szCs w:val="24"/>
                <w:lang w:bidi="ar"/>
              </w:rPr>
              <w:t>C15.关注幼儿学习与发展的整体性与连续性，发现和支持幼儿有意义的学习。（6分）</w:t>
            </w:r>
          </w:p>
        </w:tc>
        <w:tc>
          <w:tcPr>
            <w:tcW w:w="10365" w:type="dxa"/>
            <w:noWrap w:val="0"/>
            <w:vAlign w:val="center"/>
          </w:tcPr>
          <w:p>
            <w:pPr>
              <w:widowControl/>
              <w:rPr>
                <w:rStyle w:val="10"/>
                <w:rFonts w:hint="default"/>
                <w:sz w:val="24"/>
                <w:szCs w:val="24"/>
              </w:rPr>
            </w:pPr>
            <w:r>
              <w:rPr>
                <w:rStyle w:val="11"/>
                <w:rFonts w:hint="eastAsia" w:ascii="仿宋_GB2312" w:hAnsi="仿宋_GB2312" w:eastAsia="仿宋_GB2312"/>
                <w:lang w:bidi="ar"/>
              </w:rPr>
              <w:t>1.关注幼儿学习与发展的整体性与连续性，促进幼儿智力和非智力因素协调发展，寓教育于生活和游戏中。（2分）</w:t>
            </w:r>
            <w:r>
              <w:rPr>
                <w:rStyle w:val="11"/>
                <w:rFonts w:hint="eastAsia" w:ascii="仿宋_GB2312" w:hAnsi="仿宋_GB2312" w:eastAsia="仿宋_GB2312"/>
                <w:lang w:bidi="ar"/>
              </w:rPr>
              <w:br w:type="textWrapping"/>
            </w:r>
            <w:r>
              <w:rPr>
                <w:rStyle w:val="11"/>
                <w:rFonts w:hint="eastAsia" w:ascii="仿宋_GB2312" w:hAnsi="仿宋_GB2312" w:eastAsia="仿宋_GB2312"/>
                <w:lang w:bidi="ar"/>
              </w:rPr>
              <w:t>2.尊重幼儿主体性、差异性，能在观察、分析、理解幼儿表现与需求的基础上，通过提供丰富适宜的材料、角色参与、指导帮助等多种方式支持幼儿探究、试错、重复等行为。（2分）</w:t>
            </w:r>
            <w:r>
              <w:rPr>
                <w:rStyle w:val="11"/>
                <w:rFonts w:hint="eastAsia" w:ascii="仿宋_GB2312" w:hAnsi="仿宋_GB2312" w:eastAsia="仿宋_GB2312"/>
                <w:lang w:bidi="ar"/>
              </w:rPr>
              <w:br w:type="textWrapping"/>
            </w:r>
            <w:r>
              <w:rPr>
                <w:rStyle w:val="11"/>
                <w:rFonts w:hint="eastAsia" w:ascii="仿宋_GB2312" w:hAnsi="仿宋_GB2312" w:eastAsia="仿宋_GB2312"/>
                <w:lang w:bidi="ar"/>
              </w:rPr>
              <w:t>3.发现和支持幼儿有意义的学习，采用小组或集体的形式讨论幼儿感兴趣的话题，引导幼儿通过表征、实际操作等多种方式进行游戏分享，鼓励幼儿表达自己的观点，提出问题、分析解决问题，梳理、拓展和提升幼儿日常生活和游戏中的经验。（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88" w:hRule="atLeast"/>
          <w:jc w:val="center"/>
        </w:trPr>
        <w:tc>
          <w:tcPr>
            <w:tcW w:w="1269" w:type="dxa"/>
            <w:vMerge w:val="continue"/>
            <w:noWrap w:val="0"/>
            <w:vAlign w:val="center"/>
          </w:tcPr>
          <w:p>
            <w:pPr>
              <w:jc w:val="center"/>
              <w:rPr>
                <w:rFonts w:hint="eastAsia" w:ascii="仿宋_GB2312" w:hAnsi="仿宋_GB2312" w:eastAsia="仿宋_GB2312"/>
                <w:color w:val="000000"/>
                <w:szCs w:val="21"/>
              </w:rPr>
            </w:pPr>
          </w:p>
        </w:tc>
        <w:tc>
          <w:tcPr>
            <w:tcW w:w="1350" w:type="dxa"/>
            <w:noWrap w:val="0"/>
            <w:vAlign w:val="center"/>
          </w:tcPr>
          <w:p>
            <w:pPr>
              <w:widowControl/>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B10.课程建设（6分）</w:t>
            </w:r>
          </w:p>
        </w:tc>
        <w:tc>
          <w:tcPr>
            <w:tcW w:w="2565" w:type="dxa"/>
            <w:noWrap w:val="0"/>
            <w:vAlign w:val="center"/>
          </w:tcPr>
          <w:p>
            <w:pPr>
              <w:widowControl/>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C16.基于游戏为基本活动的课程体系逐步建立。（6分）</w:t>
            </w:r>
          </w:p>
        </w:tc>
        <w:tc>
          <w:tcPr>
            <w:tcW w:w="10365" w:type="dxa"/>
            <w:noWrap w:val="0"/>
            <w:vAlign w:val="center"/>
          </w:tcPr>
          <w:p>
            <w:pPr>
              <w:widowControl/>
              <w:rPr>
                <w:rStyle w:val="11"/>
                <w:rFonts w:hint="eastAsia" w:ascii="仿宋_GB2312" w:hAnsi="仿宋_GB2312" w:eastAsia="仿宋_GB2312" w:cs="仿宋_GB2312"/>
                <w:lang w:bidi="ar"/>
              </w:rPr>
            </w:pPr>
            <w:r>
              <w:rPr>
                <w:rStyle w:val="11"/>
                <w:rFonts w:hint="eastAsia" w:ascii="仿宋_GB2312" w:hAnsi="仿宋_GB2312" w:eastAsia="仿宋_GB2312" w:cs="仿宋_GB2312"/>
                <w:lang w:bidi="ar"/>
              </w:rPr>
              <w:t>1.将自由、自主、创造、愉悦的游戏精神渗透于幼儿园的一日生活各个环节，凸显课程的过程性、探究性、趣味性、启蒙性。（2分）</w:t>
            </w:r>
            <w:r>
              <w:rPr>
                <w:rStyle w:val="11"/>
                <w:rFonts w:hint="eastAsia" w:ascii="仿宋_GB2312" w:hAnsi="仿宋_GB2312" w:eastAsia="仿宋_GB2312" w:cs="仿宋_GB2312"/>
                <w:lang w:bidi="ar"/>
              </w:rPr>
              <w:br w:type="textWrapping"/>
            </w:r>
            <w:r>
              <w:rPr>
                <w:rStyle w:val="11"/>
                <w:rFonts w:hint="eastAsia" w:ascii="仿宋_GB2312" w:hAnsi="仿宋_GB2312" w:eastAsia="仿宋_GB2312" w:cs="仿宋_GB2312"/>
                <w:lang w:bidi="ar"/>
              </w:rPr>
              <w:t>2.遵循幼儿的经验、兴趣和发展需要，逐步减少预设课程，适当增加生成课程。（2分）</w:t>
            </w:r>
            <w:r>
              <w:rPr>
                <w:rStyle w:val="11"/>
                <w:rFonts w:hint="eastAsia" w:ascii="仿宋_GB2312" w:hAnsi="仿宋_GB2312" w:eastAsia="仿宋_GB2312" w:cs="仿宋_GB2312"/>
                <w:lang w:bidi="ar"/>
              </w:rPr>
              <w:br w:type="textWrapping"/>
            </w:r>
            <w:r>
              <w:rPr>
                <w:rStyle w:val="11"/>
                <w:rFonts w:hint="eastAsia" w:ascii="仿宋_GB2312" w:hAnsi="仿宋_GB2312" w:eastAsia="仿宋_GB2312" w:cs="仿宋_GB2312"/>
                <w:lang w:bidi="ar"/>
              </w:rPr>
              <w:t>3.激发和保护幼儿的好奇心、想象力、创造力，关注幼儿学习品质培养，逐步形成基于幼儿兴趣与经验、鼓励幼儿探究与创造、发展幼儿表现与表达的课程体系。（2分）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5" w:hRule="atLeast"/>
          <w:jc w:val="center"/>
        </w:trPr>
        <w:tc>
          <w:tcPr>
            <w:tcW w:w="1269" w:type="dxa"/>
            <w:vMerge w:val="restart"/>
            <w:noWrap w:val="0"/>
            <w:vAlign w:val="center"/>
          </w:tcPr>
          <w:p>
            <w:pPr>
              <w:widowControl/>
              <w:jc w:val="center"/>
              <w:rPr>
                <w:rFonts w:hint="eastAsia" w:ascii="仿宋_GB2312" w:hAnsi="仿宋_GB2312" w:eastAsia="仿宋_GB2312"/>
                <w:color w:val="000000"/>
                <w:kern w:val="0"/>
                <w:sz w:val="24"/>
                <w:szCs w:val="24"/>
                <w:lang w:bidi="ar"/>
              </w:rPr>
            </w:pPr>
            <w:r>
              <w:rPr>
                <w:rFonts w:hint="eastAsia" w:ascii="仿宋_GB2312" w:hAnsi="仿宋_GB2312" w:eastAsia="仿宋_GB2312"/>
                <w:color w:val="000000"/>
                <w:kern w:val="0"/>
                <w:sz w:val="24"/>
                <w:szCs w:val="24"/>
                <w:lang w:bidi="ar"/>
              </w:rPr>
              <w:t>A5.示范引领（10分）</w:t>
            </w:r>
          </w:p>
        </w:tc>
        <w:tc>
          <w:tcPr>
            <w:tcW w:w="1350" w:type="dxa"/>
            <w:noWrap w:val="0"/>
            <w:vAlign w:val="center"/>
          </w:tcPr>
          <w:p>
            <w:pPr>
              <w:widowControl/>
              <w:jc w:val="center"/>
              <w:rPr>
                <w:rFonts w:hint="eastAsia" w:ascii="仿宋_GB2312" w:hAnsi="仿宋_GB2312" w:eastAsia="仿宋_GB2312"/>
                <w:color w:val="000000"/>
                <w:kern w:val="0"/>
                <w:sz w:val="24"/>
                <w:szCs w:val="24"/>
                <w:lang w:bidi="ar"/>
              </w:rPr>
            </w:pPr>
            <w:r>
              <w:rPr>
                <w:rFonts w:hint="eastAsia" w:ascii="仿宋_GB2312" w:hAnsi="仿宋_GB2312" w:eastAsia="仿宋_GB2312"/>
                <w:color w:val="000000"/>
                <w:kern w:val="0"/>
                <w:sz w:val="24"/>
                <w:szCs w:val="24"/>
                <w:lang w:bidi="ar"/>
              </w:rPr>
              <w:t>B11.成果成效（5分）</w:t>
            </w:r>
          </w:p>
        </w:tc>
        <w:tc>
          <w:tcPr>
            <w:tcW w:w="2565" w:type="dxa"/>
            <w:noWrap w:val="0"/>
            <w:vAlign w:val="center"/>
          </w:tcPr>
          <w:p>
            <w:pPr>
              <w:widowControl/>
              <w:rPr>
                <w:rFonts w:hint="eastAsia" w:ascii="仿宋_GB2312" w:hAnsi="仿宋_GB2312" w:eastAsia="仿宋_GB2312"/>
                <w:color w:val="000000"/>
                <w:kern w:val="0"/>
                <w:sz w:val="24"/>
                <w:szCs w:val="24"/>
                <w:lang w:bidi="ar"/>
              </w:rPr>
            </w:pPr>
            <w:r>
              <w:rPr>
                <w:rFonts w:hint="eastAsia" w:ascii="仿宋_GB2312" w:hAnsi="仿宋_GB2312" w:eastAsia="仿宋_GB2312"/>
                <w:color w:val="000000"/>
                <w:kern w:val="0"/>
                <w:sz w:val="24"/>
                <w:szCs w:val="24"/>
                <w:lang w:bidi="ar"/>
              </w:rPr>
              <w:t>C17.本区域研究成果丰硕，实验成效显著。（5分）</w:t>
            </w:r>
          </w:p>
        </w:tc>
        <w:tc>
          <w:tcPr>
            <w:tcW w:w="10365" w:type="dxa"/>
            <w:noWrap w:val="0"/>
            <w:vAlign w:val="center"/>
          </w:tcPr>
          <w:p>
            <w:pPr>
              <w:widowControl/>
              <w:rPr>
                <w:rStyle w:val="11"/>
                <w:rFonts w:hint="eastAsia" w:ascii="仿宋_GB2312" w:hAnsi="仿宋_GB2312" w:eastAsia="仿宋_GB2312"/>
                <w:lang w:bidi="ar"/>
              </w:rPr>
            </w:pPr>
            <w:r>
              <w:rPr>
                <w:rStyle w:val="11"/>
                <w:rFonts w:hint="eastAsia" w:ascii="仿宋_GB2312" w:hAnsi="仿宋_GB2312" w:eastAsia="仿宋_GB2312"/>
                <w:lang w:bidi="ar"/>
              </w:rPr>
              <w:t>结合本区域实际开展游戏活动研究，有一定数量的以游戏为主题的市级及以上课题，有一定数量的游戏案例获得省市级奖励，一定数量的文章在报刊、杂志上发表，有质量较高的经验总结在市级及以上会议交流并在一定范围内推广应用。（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0" w:hRule="atLeast"/>
          <w:jc w:val="center"/>
        </w:trPr>
        <w:tc>
          <w:tcPr>
            <w:tcW w:w="1269" w:type="dxa"/>
            <w:vMerge w:val="continue"/>
            <w:noWrap w:val="0"/>
            <w:vAlign w:val="center"/>
          </w:tcPr>
          <w:p>
            <w:pPr>
              <w:jc w:val="center"/>
              <w:rPr>
                <w:rFonts w:hint="eastAsia" w:ascii="仿宋_GB2312" w:hAnsi="仿宋_GB2312" w:eastAsia="仿宋_GB2312"/>
                <w:color w:val="000000"/>
                <w:sz w:val="24"/>
                <w:szCs w:val="24"/>
              </w:rPr>
            </w:pPr>
          </w:p>
        </w:tc>
        <w:tc>
          <w:tcPr>
            <w:tcW w:w="1350" w:type="dxa"/>
            <w:noWrap w:val="0"/>
            <w:vAlign w:val="center"/>
          </w:tcPr>
          <w:p>
            <w:pPr>
              <w:widowControl/>
              <w:jc w:val="center"/>
              <w:rPr>
                <w:rFonts w:hint="eastAsia" w:ascii="仿宋_GB2312" w:hAnsi="仿宋_GB2312" w:eastAsia="仿宋_GB2312"/>
                <w:color w:val="000000"/>
                <w:kern w:val="0"/>
                <w:sz w:val="24"/>
                <w:szCs w:val="24"/>
                <w:lang w:bidi="ar"/>
              </w:rPr>
            </w:pPr>
            <w:r>
              <w:rPr>
                <w:rFonts w:hint="eastAsia" w:ascii="仿宋_GB2312" w:hAnsi="仿宋_GB2312" w:eastAsia="仿宋_GB2312"/>
                <w:color w:val="000000"/>
                <w:kern w:val="0"/>
                <w:sz w:val="24"/>
                <w:szCs w:val="24"/>
                <w:lang w:bidi="ar"/>
              </w:rPr>
              <w:t>B12.辐射带动（5分）</w:t>
            </w:r>
          </w:p>
        </w:tc>
        <w:tc>
          <w:tcPr>
            <w:tcW w:w="2565" w:type="dxa"/>
            <w:noWrap w:val="0"/>
            <w:vAlign w:val="center"/>
          </w:tcPr>
          <w:p>
            <w:pPr>
              <w:widowControl/>
              <w:rPr>
                <w:rFonts w:hint="eastAsia" w:ascii="仿宋_GB2312" w:hAnsi="仿宋_GB2312" w:eastAsia="仿宋_GB2312"/>
                <w:color w:val="000000"/>
                <w:kern w:val="0"/>
                <w:sz w:val="24"/>
                <w:szCs w:val="24"/>
                <w:lang w:bidi="ar"/>
              </w:rPr>
            </w:pPr>
            <w:r>
              <w:rPr>
                <w:rFonts w:hint="eastAsia" w:ascii="仿宋_GB2312" w:hAnsi="仿宋_GB2312" w:eastAsia="仿宋_GB2312"/>
                <w:color w:val="000000"/>
                <w:kern w:val="0"/>
                <w:sz w:val="24"/>
                <w:szCs w:val="24"/>
                <w:lang w:bidi="ar"/>
              </w:rPr>
              <w:t>C18.结对帮扶工作扎实开展，有效推动区域学前教育优质均衡发展。（5分）</w:t>
            </w:r>
          </w:p>
        </w:tc>
        <w:tc>
          <w:tcPr>
            <w:tcW w:w="10365" w:type="dxa"/>
            <w:noWrap w:val="0"/>
            <w:vAlign w:val="center"/>
          </w:tcPr>
          <w:p>
            <w:pPr>
              <w:widowControl/>
              <w:rPr>
                <w:rStyle w:val="11"/>
                <w:rFonts w:hint="eastAsia" w:ascii="仿宋_GB2312" w:hAnsi="仿宋_GB2312" w:eastAsia="仿宋_GB2312"/>
                <w:lang w:bidi="ar"/>
              </w:rPr>
            </w:pPr>
            <w:r>
              <w:rPr>
                <w:rStyle w:val="11"/>
                <w:rFonts w:hint="eastAsia" w:ascii="仿宋_GB2312" w:hAnsi="仿宋_GB2312" w:eastAsia="仿宋_GB2312"/>
                <w:lang w:bidi="ar"/>
              </w:rPr>
              <w:t>通过城乡联动、园际联合、送教助研、挂职锻炼、跟岗学习等方式，帮扶本区域乡村幼儿园和薄弱幼儿园，以强带弱，推动区域保教质量和游戏质量整体提升，促进区域学前教育优质均衡发展。（5分）</w:t>
            </w:r>
          </w:p>
        </w:tc>
      </w:tr>
    </w:tbl>
    <w:p>
      <w:pPr>
        <w:rPr>
          <w:rFonts w:hint="eastAsia" w:ascii="黑体" w:hAnsi="黑体" w:eastAsia="黑体" w:cs="黑体"/>
          <w:sz w:val="32"/>
          <w:szCs w:val="32"/>
        </w:rPr>
      </w:pPr>
    </w:p>
    <w:p>
      <w:pPr>
        <w:rPr>
          <w:rFonts w:hint="eastAsia" w:ascii="黑体" w:hAnsi="黑体" w:eastAsia="黑体" w:cs="黑体"/>
          <w:sz w:val="32"/>
          <w:szCs w:val="32"/>
        </w:rPr>
      </w:pPr>
      <w:bookmarkStart w:id="0" w:name="_GoBack"/>
      <w:bookmarkEnd w:id="0"/>
    </w:p>
    <w:p>
      <w:pPr>
        <w:rPr>
          <w:rFonts w:hint="eastAsia" w:ascii="方正小标宋_GBK" w:hAnsi="方正小标宋_GBK" w:eastAsia="方正小标宋_GBK" w:cs="方正小标宋_GBK"/>
          <w:color w:val="000000"/>
          <w:sz w:val="44"/>
        </w:rPr>
      </w:pPr>
    </w:p>
    <w:sectPr>
      <w:footerReference r:id="rId5" w:type="first"/>
      <w:footerReference r:id="rId3" w:type="default"/>
      <w:footerReference r:id="rId4" w:type="even"/>
      <w:pgSz w:w="16838" w:h="11906" w:orient="landscape"/>
      <w:pgMar w:top="1531" w:right="2041" w:bottom="1531" w:left="1985" w:header="851" w:footer="1247" w:gutter="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altName w:val="仿宋"/>
    <w:panose1 w:val="02000000000000000000"/>
    <w:charset w:val="00"/>
    <w:family w:val="auto"/>
    <w:pitch w:val="default"/>
    <w:sig w:usb0="00000000" w:usb1="00000000" w:usb2="00000012" w:usb3="00000000" w:csb0="00040001" w:csb1="00000000"/>
  </w:font>
  <w:font w:name="方正小标宋_GBK">
    <w:altName w:val="微软雅黑"/>
    <w:panose1 w:val="02000000000000000000"/>
    <w:charset w:val="86"/>
    <w:family w:val="script"/>
    <w:pitch w:val="default"/>
    <w:sig w:usb0="00000000" w:usb1="00000000" w:usb2="00082016"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ind w:left="315" w:leftChars="150" w:right="315" w:rightChars="150"/>
      <w:rPr>
        <w:rStyle w:val="9"/>
        <w:sz w:val="28"/>
        <w:szCs w:val="28"/>
      </w:rPr>
    </w:pPr>
    <w:r>
      <w:rPr>
        <w:rStyle w:val="9"/>
        <w:sz w:val="28"/>
        <w:szCs w:val="28"/>
      </w:rPr>
      <w:t xml:space="preserve">— </w:t>
    </w:r>
    <w:r>
      <w:rPr>
        <w:rStyle w:val="9"/>
        <w:sz w:val="28"/>
        <w:szCs w:val="28"/>
      </w:rPr>
      <w:fldChar w:fldCharType="begin"/>
    </w:r>
    <w:r>
      <w:rPr>
        <w:rStyle w:val="9"/>
        <w:sz w:val="28"/>
        <w:szCs w:val="28"/>
      </w:rPr>
      <w:instrText xml:space="preserve">PAGE  </w:instrText>
    </w:r>
    <w:r>
      <w:rPr>
        <w:rStyle w:val="9"/>
        <w:sz w:val="28"/>
        <w:szCs w:val="28"/>
      </w:rPr>
      <w:fldChar w:fldCharType="separate"/>
    </w:r>
    <w:r>
      <w:rPr>
        <w:rStyle w:val="9"/>
        <w:sz w:val="28"/>
        <w:szCs w:val="28"/>
      </w:rPr>
      <w:t>18</w:t>
    </w:r>
    <w:r>
      <w:rPr>
        <w:rStyle w:val="9"/>
        <w:sz w:val="28"/>
        <w:szCs w:val="28"/>
      </w:rPr>
      <w:fldChar w:fldCharType="end"/>
    </w:r>
    <w:r>
      <w:rPr>
        <w:rStyle w:val="9"/>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ind w:left="210" w:leftChars="100" w:right="210" w:rightChars="100"/>
      <w:rPr>
        <w:rStyle w:val="9"/>
        <w:sz w:val="28"/>
        <w:szCs w:val="28"/>
      </w:rPr>
    </w:pPr>
    <w:r>
      <w:rPr>
        <w:rStyle w:val="9"/>
        <w:sz w:val="28"/>
        <w:szCs w:val="28"/>
      </w:rPr>
      <w:t xml:space="preserve">— </w:t>
    </w:r>
    <w:r>
      <w:rPr>
        <w:rStyle w:val="9"/>
        <w:sz w:val="28"/>
        <w:szCs w:val="28"/>
      </w:rPr>
      <w:fldChar w:fldCharType="begin"/>
    </w:r>
    <w:r>
      <w:rPr>
        <w:rStyle w:val="9"/>
        <w:sz w:val="28"/>
        <w:szCs w:val="28"/>
      </w:rPr>
      <w:instrText xml:space="preserve">PAGE  </w:instrText>
    </w:r>
    <w:r>
      <w:rPr>
        <w:rStyle w:val="9"/>
        <w:sz w:val="28"/>
        <w:szCs w:val="28"/>
      </w:rPr>
      <w:fldChar w:fldCharType="separate"/>
    </w:r>
    <w:r>
      <w:rPr>
        <w:rStyle w:val="9"/>
        <w:sz w:val="28"/>
        <w:szCs w:val="28"/>
      </w:rPr>
      <w:t>2</w:t>
    </w:r>
    <w:r>
      <w:rPr>
        <w:rStyle w:val="9"/>
        <w:sz w:val="28"/>
        <w:szCs w:val="28"/>
      </w:rPr>
      <w:fldChar w:fldCharType="end"/>
    </w:r>
    <w:r>
      <w:rPr>
        <w:rStyle w:val="9"/>
        <w:sz w:val="28"/>
        <w:szCs w:val="28"/>
      </w:rPr>
      <w:t xml:space="preserve"> —</w: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FE1AED"/>
    <w:rsid w:val="000102C3"/>
    <w:rsid w:val="00091282"/>
    <w:rsid w:val="000D1704"/>
    <w:rsid w:val="000F6019"/>
    <w:rsid w:val="001331E3"/>
    <w:rsid w:val="001414E6"/>
    <w:rsid w:val="00150F26"/>
    <w:rsid w:val="00167D58"/>
    <w:rsid w:val="001A1AD1"/>
    <w:rsid w:val="001B3585"/>
    <w:rsid w:val="001F444B"/>
    <w:rsid w:val="002675B8"/>
    <w:rsid w:val="00295935"/>
    <w:rsid w:val="0032220F"/>
    <w:rsid w:val="003340EC"/>
    <w:rsid w:val="00360658"/>
    <w:rsid w:val="003751E7"/>
    <w:rsid w:val="003F186A"/>
    <w:rsid w:val="0040787C"/>
    <w:rsid w:val="004255E8"/>
    <w:rsid w:val="004575BE"/>
    <w:rsid w:val="00461822"/>
    <w:rsid w:val="004B0A45"/>
    <w:rsid w:val="004D73FC"/>
    <w:rsid w:val="004F3958"/>
    <w:rsid w:val="004F7B85"/>
    <w:rsid w:val="0050349A"/>
    <w:rsid w:val="0052423E"/>
    <w:rsid w:val="00544492"/>
    <w:rsid w:val="00556BBC"/>
    <w:rsid w:val="00584E26"/>
    <w:rsid w:val="00585162"/>
    <w:rsid w:val="005A16A3"/>
    <w:rsid w:val="005A25FA"/>
    <w:rsid w:val="005C41F8"/>
    <w:rsid w:val="00666697"/>
    <w:rsid w:val="006833BA"/>
    <w:rsid w:val="006B5CE2"/>
    <w:rsid w:val="006C2E79"/>
    <w:rsid w:val="006C2FB5"/>
    <w:rsid w:val="0071780E"/>
    <w:rsid w:val="00726544"/>
    <w:rsid w:val="007E30A8"/>
    <w:rsid w:val="0081034F"/>
    <w:rsid w:val="008A5A73"/>
    <w:rsid w:val="00905158"/>
    <w:rsid w:val="009102BE"/>
    <w:rsid w:val="00957444"/>
    <w:rsid w:val="00985EEB"/>
    <w:rsid w:val="009B2EAC"/>
    <w:rsid w:val="009C7207"/>
    <w:rsid w:val="009D186D"/>
    <w:rsid w:val="00A31DCE"/>
    <w:rsid w:val="00A55E34"/>
    <w:rsid w:val="00A925CA"/>
    <w:rsid w:val="00AB0B58"/>
    <w:rsid w:val="00AB0DE0"/>
    <w:rsid w:val="00AC6124"/>
    <w:rsid w:val="00AE28A8"/>
    <w:rsid w:val="00B60FB2"/>
    <w:rsid w:val="00B6591F"/>
    <w:rsid w:val="00B6715F"/>
    <w:rsid w:val="00B83F06"/>
    <w:rsid w:val="00B86524"/>
    <w:rsid w:val="00C446A0"/>
    <w:rsid w:val="00CE0CA6"/>
    <w:rsid w:val="00CF149C"/>
    <w:rsid w:val="00D020AE"/>
    <w:rsid w:val="00D9315B"/>
    <w:rsid w:val="00DF4B5E"/>
    <w:rsid w:val="00E1604F"/>
    <w:rsid w:val="00E53C59"/>
    <w:rsid w:val="00E635A2"/>
    <w:rsid w:val="00E80D7A"/>
    <w:rsid w:val="00EA46A6"/>
    <w:rsid w:val="00EC6D84"/>
    <w:rsid w:val="00EE16D6"/>
    <w:rsid w:val="00F55CD2"/>
    <w:rsid w:val="00F74267"/>
    <w:rsid w:val="00F74392"/>
    <w:rsid w:val="00FA30E9"/>
    <w:rsid w:val="00FA5E8E"/>
    <w:rsid w:val="01853218"/>
    <w:rsid w:val="07D66E44"/>
    <w:rsid w:val="0E44681E"/>
    <w:rsid w:val="173A42B9"/>
    <w:rsid w:val="2E665EAE"/>
    <w:rsid w:val="30D01440"/>
    <w:rsid w:val="367D4C50"/>
    <w:rsid w:val="4AE247BB"/>
    <w:rsid w:val="536A79AF"/>
    <w:rsid w:val="60644AE0"/>
    <w:rsid w:val="66FE1AED"/>
    <w:rsid w:val="6CC8495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spacing w:after="0" w:line="560" w:lineRule="exact"/>
      <w:ind w:left="0" w:leftChars="0" w:firstLine="420" w:firstLineChars="200"/>
    </w:pPr>
    <w:rPr>
      <w:sz w:val="32"/>
      <w:szCs w:val="20"/>
    </w:rPr>
  </w:style>
  <w:style w:type="paragraph" w:styleId="3">
    <w:name w:val="Body Text Indent"/>
    <w:basedOn w:val="1"/>
    <w:qFormat/>
    <w:uiPriority w:val="0"/>
    <w:pPr>
      <w:spacing w:after="120"/>
      <w:ind w:left="420" w:leftChars="200"/>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page number"/>
    <w:basedOn w:val="8"/>
    <w:qFormat/>
    <w:uiPriority w:val="0"/>
  </w:style>
  <w:style w:type="character" w:customStyle="1" w:styleId="10">
    <w:name w:val="font31"/>
    <w:qFormat/>
    <w:uiPriority w:val="0"/>
    <w:rPr>
      <w:rFonts w:hint="eastAsia" w:ascii="宋体" w:hAnsi="宋体" w:eastAsia="宋体" w:cs="宋体"/>
      <w:color w:val="000000"/>
      <w:sz w:val="22"/>
      <w:szCs w:val="22"/>
      <w:u w:val="none"/>
    </w:rPr>
  </w:style>
  <w:style w:type="character" w:customStyle="1" w:styleId="11">
    <w:name w:val="font71"/>
    <w:qFormat/>
    <w:uiPriority w:val="0"/>
    <w:rPr>
      <w:rFonts w:ascii="Times New Roman" w:hAnsi="Times New Roman" w:eastAsia="宋体"/>
      <w:color w:val="000000"/>
      <w:sz w:val="24"/>
      <w:szCs w:val="24"/>
      <w:u w:val="none"/>
    </w:rPr>
  </w:style>
  <w:style w:type="character" w:customStyle="1" w:styleId="12">
    <w:name w:val="font51"/>
    <w:qFormat/>
    <w:uiPriority w:val="0"/>
    <w:rPr>
      <w:rFonts w:hint="default" w:ascii="方正仿宋_GB2312" w:hAnsi="方正仿宋_GB2312" w:eastAsia="方正仿宋_GB2312" w:cs="方正仿宋_GB2312"/>
      <w:color w:val="000000"/>
      <w:sz w:val="24"/>
      <w:szCs w:val="24"/>
      <w:u w:val="none"/>
    </w:rPr>
  </w:style>
  <w:style w:type="paragraph" w:customStyle="1" w:styleId="13">
    <w:name w:val="批注文字1"/>
    <w:basedOn w:val="1"/>
    <w:qFormat/>
    <w:uiPriority w:val="0"/>
    <w:pPr>
      <w:jc w:val="left"/>
    </w:pPr>
    <w:rPr>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40065;&#25945;X&#20989;&#12308;&#12309;&#21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鲁教X函〔〕号.dot</Template>
  <Pages>5</Pages>
  <Words>3148</Words>
  <Characters>3281</Characters>
  <Lines>1</Lines>
  <Paragraphs>1</Paragraphs>
  <TotalTime>2</TotalTime>
  <ScaleCrop>false</ScaleCrop>
  <LinksUpToDate>false</LinksUpToDate>
  <CharactersWithSpaces>3281</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2024-05-11T01:11:00Z</dcterms:created>
  <dc:creator>文印1</dc:creator>
  <cp:lastModifiedBy>玖號 </cp:lastModifiedBy>
  <dcterms:modified xsi:type="dcterms:W3CDTF">2024-05-13T06:12:06Z</dcterms:modified>
  <dc:title>山东省教育厅</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24D600CF5EDF4D6F99601EFC5D80D21E</vt:lpwstr>
  </property>
</Properties>
</file>